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795" w:rsidRDefault="00AE1C28" w:rsidP="00C90795">
      <w:r>
        <w:rPr>
          <w:noProof/>
        </w:rPr>
        <w:drawing>
          <wp:anchor distT="0" distB="71755" distL="114300" distR="114300" simplePos="0" relativeHeight="251658240" behindDoc="0" locked="0" layoutInCell="1" allowOverlap="1" wp14:anchorId="5A75DB95" wp14:editId="7675BF36">
            <wp:simplePos x="779145" y="0"/>
            <wp:positionH relativeFrom="margin">
              <wp:align>right</wp:align>
            </wp:positionH>
            <wp:positionV relativeFrom="margin">
              <wp:align>top</wp:align>
            </wp:positionV>
            <wp:extent cx="7773035" cy="188785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3387" cy="1888475"/>
                    </a:xfrm>
                    <a:prstGeom prst="rect">
                      <a:avLst/>
                    </a:prstGeom>
                  </pic:spPr>
                </pic:pic>
              </a:graphicData>
            </a:graphic>
            <wp14:sizeRelH relativeFrom="page">
              <wp14:pctWidth>0</wp14:pctWidth>
            </wp14:sizeRelH>
            <wp14:sizeRelV relativeFrom="page">
              <wp14:pctHeight>0</wp14:pctHeight>
            </wp14:sizeRelV>
          </wp:anchor>
        </w:drawing>
      </w:r>
      <w:r w:rsidR="00C90795">
        <w:t xml:space="preserve">Under the </w:t>
      </w:r>
      <w:hyperlink r:id="rId10" w:history="1">
        <w:r w:rsidR="00C90795" w:rsidRPr="006A64EA">
          <w:rPr>
            <w:rStyle w:val="Hyperlink"/>
            <w:i/>
            <w:iCs/>
            <w:color w:val="007684"/>
          </w:rPr>
          <w:t xml:space="preserve">Health Information Act </w:t>
        </w:r>
        <w:r w:rsidR="00C90795" w:rsidRPr="006A64EA">
          <w:rPr>
            <w:rStyle w:val="Hyperlink"/>
            <w:color w:val="007684"/>
          </w:rPr>
          <w:t>(HIA)</w:t>
        </w:r>
      </w:hyperlink>
      <w:r w:rsidR="00C90795">
        <w:t>, custodians and their information managers must take reasonable steps to protect health information against threats to confidentiality</w:t>
      </w:r>
      <w:r w:rsidR="00410FDF">
        <w:t xml:space="preserve"> or security</w:t>
      </w:r>
      <w:r w:rsidR="00C90795">
        <w:t xml:space="preserve"> in </w:t>
      </w:r>
      <w:r w:rsidR="00202A40">
        <w:rPr>
          <w:b/>
        </w:rPr>
        <w:t>electronic health</w:t>
      </w:r>
      <w:r w:rsidR="00C90795" w:rsidRPr="002107B7">
        <w:rPr>
          <w:b/>
        </w:rPr>
        <w:t xml:space="preserve"> </w:t>
      </w:r>
      <w:r w:rsidR="00010C59" w:rsidRPr="002107B7">
        <w:rPr>
          <w:b/>
        </w:rPr>
        <w:t>record</w:t>
      </w:r>
      <w:r w:rsidR="00202A40">
        <w:rPr>
          <w:b/>
        </w:rPr>
        <w:t xml:space="preserve"> (EH</w:t>
      </w:r>
      <w:r w:rsidR="00C12DA1" w:rsidRPr="002107B7">
        <w:rPr>
          <w:b/>
        </w:rPr>
        <w:t>R)</w:t>
      </w:r>
      <w:r w:rsidR="002D11C7" w:rsidRPr="002107B7">
        <w:rPr>
          <w:b/>
        </w:rPr>
        <w:t xml:space="preserve"> </w:t>
      </w:r>
      <w:r w:rsidR="00C90795" w:rsidRPr="002107B7">
        <w:rPr>
          <w:b/>
        </w:rPr>
        <w:t>systems</w:t>
      </w:r>
      <w:r w:rsidR="00C90795">
        <w:t>, including unauthorized access, use, disclosure, modification or loss of health information.</w:t>
      </w:r>
    </w:p>
    <w:p w:rsidR="00C90795" w:rsidRPr="00C90795" w:rsidRDefault="00C90795" w:rsidP="009D04C3">
      <w:pPr>
        <w:pStyle w:val="Heading1"/>
        <w:tabs>
          <w:tab w:val="left" w:pos="8026"/>
        </w:tabs>
      </w:pPr>
      <w:r w:rsidRPr="00C90795">
        <w:t>Purposes</w:t>
      </w:r>
      <w:r w:rsidR="009D04C3">
        <w:tab/>
      </w:r>
    </w:p>
    <w:p w:rsidR="00C90795" w:rsidRDefault="00910FFB" w:rsidP="00C90795">
      <w:r>
        <w:t>This document is meant</w:t>
      </w:r>
      <w:r w:rsidR="00202A40">
        <w:t xml:space="preserve"> for custodians and their information managers</w:t>
      </w:r>
      <w:r w:rsidR="00C9029E">
        <w:t xml:space="preserve"> (i.e. EHR</w:t>
      </w:r>
      <w:r w:rsidR="00545F92">
        <w:t xml:space="preserve"> service providers)</w:t>
      </w:r>
      <w:r>
        <w:t xml:space="preserve"> to assess the</w:t>
      </w:r>
      <w:r w:rsidR="00C90795">
        <w:t xml:space="preserve"> safeguards in </w:t>
      </w:r>
      <w:r w:rsidR="00202A40">
        <w:t>EHR</w:t>
      </w:r>
      <w:r w:rsidR="002D11C7">
        <w:t xml:space="preserve"> </w:t>
      </w:r>
      <w:r w:rsidR="00C90795">
        <w:t>system</w:t>
      </w:r>
      <w:r w:rsidR="00202A40">
        <w:t>s</w:t>
      </w:r>
      <w:r w:rsidR="00C90795">
        <w:t xml:space="preserve">. </w:t>
      </w:r>
    </w:p>
    <w:p w:rsidR="00C90795" w:rsidRDefault="00596B23" w:rsidP="00C90795">
      <w:r>
        <w:rPr>
          <w:noProof/>
        </w:rPr>
        <mc:AlternateContent>
          <mc:Choice Requires="wps">
            <w:drawing>
              <wp:anchor distT="0" distB="0" distL="114300" distR="114300" simplePos="0" relativeHeight="251662336" behindDoc="1" locked="0" layoutInCell="1" allowOverlap="1" wp14:anchorId="007C7BDF" wp14:editId="42A8BE47">
                <wp:simplePos x="0" y="0"/>
                <wp:positionH relativeFrom="column">
                  <wp:posOffset>6913245</wp:posOffset>
                </wp:positionH>
                <wp:positionV relativeFrom="paragraph">
                  <wp:posOffset>6985</wp:posOffset>
                </wp:positionV>
                <wp:extent cx="2230755" cy="1403985"/>
                <wp:effectExtent l="0" t="0" r="0" b="5715"/>
                <wp:wrapTight wrapText="bothSides">
                  <wp:wrapPolygon edited="0">
                    <wp:start x="0" y="0"/>
                    <wp:lineTo x="0" y="21475"/>
                    <wp:lineTo x="21397" y="21475"/>
                    <wp:lineTo x="21397"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755" cy="1403985"/>
                        </a:xfrm>
                        <a:prstGeom prst="rect">
                          <a:avLst/>
                        </a:prstGeom>
                        <a:solidFill>
                          <a:schemeClr val="tx2">
                            <a:lumMod val="60000"/>
                            <a:lumOff val="40000"/>
                          </a:schemeClr>
                        </a:solidFill>
                        <a:ln w="9525">
                          <a:noFill/>
                          <a:miter lim="800000"/>
                          <a:headEnd/>
                          <a:tailEnd/>
                        </a:ln>
                      </wps:spPr>
                      <wps:txbx>
                        <w:txbxContent>
                          <w:p w:rsidR="00A71747" w:rsidRDefault="00AE1C28" w:rsidP="00AE1C28">
                            <w:pPr>
                              <w:spacing w:after="240"/>
                              <w:rPr>
                                <w:color w:val="FFFFFF" w:themeColor="background1"/>
                              </w:rPr>
                            </w:pPr>
                            <w:r>
                              <w:rPr>
                                <w:color w:val="FFFFFF" w:themeColor="background1"/>
                              </w:rPr>
                              <w:t xml:space="preserve">This guidance may be used voluntarily to assess your EHR. It does not replace the OIPC’s PIA Requirements or Alberta Health’s </w:t>
                            </w:r>
                            <w:r w:rsidRPr="00A465D9">
                              <w:rPr>
                                <w:b/>
                                <w:color w:val="FFFFFF" w:themeColor="background1"/>
                              </w:rPr>
                              <w:t>Provincial Organization</w:t>
                            </w:r>
                            <w:r w:rsidR="00ED6A0D">
                              <w:rPr>
                                <w:b/>
                                <w:color w:val="FFFFFF" w:themeColor="background1"/>
                              </w:rPr>
                              <w:t>al</w:t>
                            </w:r>
                            <w:r w:rsidRPr="00A465D9">
                              <w:rPr>
                                <w:b/>
                                <w:color w:val="FFFFFF" w:themeColor="background1"/>
                              </w:rPr>
                              <w:t xml:space="preserve"> Readiness Assessment</w:t>
                            </w:r>
                            <w:r>
                              <w:rPr>
                                <w:color w:val="FFFFFF" w:themeColor="background1"/>
                              </w:rPr>
                              <w:t xml:space="preserve"> (pORA), which are both mandatory under HIA.</w:t>
                            </w:r>
                          </w:p>
                          <w:p w:rsidR="00AE1C28" w:rsidRPr="00AE1C28" w:rsidRDefault="00AE1C28" w:rsidP="006D485F">
                            <w:pPr>
                              <w:spacing w:after="0"/>
                              <w:rPr>
                                <w:color w:val="FFFFFF" w:themeColor="background1"/>
                              </w:rPr>
                            </w:pPr>
                            <w:r>
                              <w:rPr>
                                <w:color w:val="FFFFFF" w:themeColor="background1"/>
                              </w:rPr>
                              <w:t xml:space="preserve">When using this guidance, you will likely need to work with your EHR service provider (i.e. information manager) to fully </w:t>
                            </w:r>
                            <w:r w:rsidR="00545F92">
                              <w:rPr>
                                <w:color w:val="FFFFFF" w:themeColor="background1"/>
                              </w:rPr>
                              <w:t xml:space="preserve">understand and </w:t>
                            </w:r>
                            <w:r>
                              <w:rPr>
                                <w:color w:val="FFFFFF" w:themeColor="background1"/>
                              </w:rPr>
                              <w:t>complete an assessment.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4.35pt;margin-top:.55pt;width:175.65pt;height:110.5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" fillcolor="#a5a1a1 [1951]" stroked="f">
                <v:textbox style="mso-fit-shape-to-text:t">
                  <w:txbxContent>
                    <w:p w:rsidR="00A71747" w:rsidRDefault="00AE1C28" w:rsidP="00AE1C28">
                      <w:pPr>
                        <w:spacing w:after="240"/>
                        <w:rPr>
                          <w:color w:val="FFFFFF" w:themeColor="background1"/>
                        </w:rPr>
                      </w:pPr>
                      <w:r>
                        <w:rPr>
                          <w:color w:val="FFFFFF" w:themeColor="background1"/>
                        </w:rPr>
                        <w:t xml:space="preserve">This guidance may be used voluntarily to assess your EHR. It does not replace the OIPC’s PIA Requirements or Alberta Health’s </w:t>
                      </w:r>
                      <w:r w:rsidRPr="00A465D9">
                        <w:rPr>
                          <w:b/>
                          <w:color w:val="FFFFFF" w:themeColor="background1"/>
                        </w:rPr>
                        <w:t>Provincial Organization</w:t>
                      </w:r>
                      <w:r w:rsidR="00ED6A0D">
                        <w:rPr>
                          <w:b/>
                          <w:color w:val="FFFFFF" w:themeColor="background1"/>
                        </w:rPr>
                        <w:t>al</w:t>
                      </w:r>
                      <w:r w:rsidRPr="00A465D9">
                        <w:rPr>
                          <w:b/>
                          <w:color w:val="FFFFFF" w:themeColor="background1"/>
                        </w:rPr>
                        <w:t xml:space="preserve"> Readiness Assessment</w:t>
                      </w:r>
                      <w:r>
                        <w:rPr>
                          <w:color w:val="FFFFFF" w:themeColor="background1"/>
                        </w:rPr>
                        <w:t xml:space="preserve"> (</w:t>
                      </w:r>
                      <w:proofErr w:type="spellStart"/>
                      <w:r>
                        <w:rPr>
                          <w:color w:val="FFFFFF" w:themeColor="background1"/>
                        </w:rPr>
                        <w:t>pORA</w:t>
                      </w:r>
                      <w:proofErr w:type="spellEnd"/>
                      <w:r>
                        <w:rPr>
                          <w:color w:val="FFFFFF" w:themeColor="background1"/>
                        </w:rPr>
                        <w:t>), which are both mandatory under HIA.</w:t>
                      </w:r>
                    </w:p>
                    <w:p w:rsidR="00AE1C28" w:rsidRPr="00AE1C28" w:rsidRDefault="00AE1C28" w:rsidP="006D485F">
                      <w:pPr>
                        <w:spacing w:after="0"/>
                        <w:rPr>
                          <w:color w:val="FFFFFF" w:themeColor="background1"/>
                        </w:rPr>
                      </w:pPr>
                      <w:r>
                        <w:rPr>
                          <w:color w:val="FFFFFF" w:themeColor="background1"/>
                        </w:rPr>
                        <w:t xml:space="preserve">When using this guidance, you will likely need to work with your EHR service provider (i.e. information manager) to fully </w:t>
                      </w:r>
                      <w:r w:rsidR="00545F92">
                        <w:rPr>
                          <w:color w:val="FFFFFF" w:themeColor="background1"/>
                        </w:rPr>
                        <w:t xml:space="preserve">understand and </w:t>
                      </w:r>
                      <w:r>
                        <w:rPr>
                          <w:color w:val="FFFFFF" w:themeColor="background1"/>
                        </w:rPr>
                        <w:t>complete an assessment.</w:t>
                      </w:r>
                    </w:p>
                  </w:txbxContent>
                </v:textbox>
                <w10:wrap type="tight"/>
              </v:shape>
            </w:pict>
          </mc:Fallback>
        </mc:AlternateContent>
      </w:r>
      <w:r w:rsidR="00C90795">
        <w:t xml:space="preserve">Specifically, </w:t>
      </w:r>
      <w:r w:rsidR="00202A40">
        <w:t>you may use this document for</w:t>
      </w:r>
      <w:r w:rsidR="00673109">
        <w:t xml:space="preserve"> the following three</w:t>
      </w:r>
      <w:r w:rsidR="00C90795">
        <w:t xml:space="preserve"> purposes:</w:t>
      </w:r>
    </w:p>
    <w:p w:rsidR="003406B7" w:rsidRPr="00C90795" w:rsidRDefault="003406B7" w:rsidP="003406B7">
      <w:pPr>
        <w:pStyle w:val="Numbered"/>
        <w:spacing w:after="240"/>
      </w:pPr>
      <w:r>
        <w:t>T</w:t>
      </w:r>
      <w:r w:rsidRPr="00C90795">
        <w:t>o assess whether</w:t>
      </w:r>
      <w:r>
        <w:t xml:space="preserve"> EHR</w:t>
      </w:r>
      <w:r w:rsidRPr="00C90795">
        <w:t xml:space="preserve"> systems comply with HIA and meet </w:t>
      </w:r>
      <w:r>
        <w:t xml:space="preserve">the </w:t>
      </w:r>
      <w:r w:rsidRPr="00C90795">
        <w:t>O</w:t>
      </w:r>
      <w:r>
        <w:t>IPC’s</w:t>
      </w:r>
      <w:r w:rsidRPr="00C90795">
        <w:t xml:space="preserve"> expecta</w:t>
      </w:r>
      <w:r>
        <w:t>tions for</w:t>
      </w:r>
      <w:r w:rsidRPr="00C90795">
        <w:t xml:space="preserve"> protecting health information</w:t>
      </w:r>
      <w:r>
        <w:t xml:space="preserve"> with reasonable safeguards. </w:t>
      </w:r>
    </w:p>
    <w:p w:rsidR="00910FFB" w:rsidRDefault="00910FFB" w:rsidP="006A4BE8">
      <w:pPr>
        <w:pStyle w:val="Numbered"/>
        <w:spacing w:after="240"/>
      </w:pPr>
      <w:r>
        <w:t xml:space="preserve">To support the submission of a </w:t>
      </w:r>
      <w:r w:rsidRPr="00910FFB">
        <w:rPr>
          <w:b/>
        </w:rPr>
        <w:t>Privacy Impact Assessment (PIA)</w:t>
      </w:r>
      <w:r>
        <w:t xml:space="preserve"> on an </w:t>
      </w:r>
      <w:r w:rsidR="00202A40">
        <w:t>EHR</w:t>
      </w:r>
      <w:r>
        <w:t xml:space="preserve"> system to the Office of the Information and Privacy Commissioner (OIPC). </w:t>
      </w:r>
      <w:r w:rsidR="00202A40">
        <w:t>OIPC s</w:t>
      </w:r>
      <w:r>
        <w:t>taff assigned to review a custodian’s PIA may ask that a gap analysis against these guidelines be completed if further information is needed to complete a PIA review.</w:t>
      </w:r>
    </w:p>
    <w:p w:rsidR="00202A40" w:rsidRPr="00C90795" w:rsidRDefault="00202A40" w:rsidP="00202A40">
      <w:pPr>
        <w:pStyle w:val="Numbered"/>
      </w:pPr>
      <w:r>
        <w:t>To prepare PIA amendments or f</w:t>
      </w:r>
      <w:r w:rsidR="00673109">
        <w:t>or continuous improvement to ensure upgrades or changes</w:t>
      </w:r>
      <w:r>
        <w:t xml:space="preserve"> to systems</w:t>
      </w:r>
      <w:r w:rsidR="00673109">
        <w:t xml:space="preserve"> comply with HIA requirements.</w:t>
      </w:r>
    </w:p>
    <w:p w:rsidR="00C90795" w:rsidRDefault="006A64EA">
      <w:pPr>
        <w:spacing w:after="200" w:line="276" w:lineRule="auto"/>
        <w:rPr>
          <w:b/>
          <w:color w:val="81232C"/>
        </w:rPr>
      </w:pPr>
      <w:r w:rsidRPr="006A4BE8">
        <w:rPr>
          <w:b/>
          <w:noProof/>
          <w:color w:val="81232C"/>
        </w:rPr>
        <mc:AlternateContent>
          <mc:Choice Requires="wps">
            <w:drawing>
              <wp:anchor distT="0" distB="0" distL="114300" distR="114300" simplePos="0" relativeHeight="251660288" behindDoc="0" locked="0" layoutInCell="1" allowOverlap="1" wp14:anchorId="5E988056" wp14:editId="1B8040AE">
                <wp:simplePos x="0" y="0"/>
                <wp:positionH relativeFrom="column">
                  <wp:posOffset>724535</wp:posOffset>
                </wp:positionH>
                <wp:positionV relativeFrom="paragraph">
                  <wp:posOffset>247319</wp:posOffset>
                </wp:positionV>
                <wp:extent cx="4889500" cy="1403985"/>
                <wp:effectExtent l="0" t="0" r="635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1403985"/>
                        </a:xfrm>
                        <a:prstGeom prst="rect">
                          <a:avLst/>
                        </a:prstGeom>
                        <a:solidFill>
                          <a:schemeClr val="tx2">
                            <a:lumMod val="60000"/>
                            <a:lumOff val="40000"/>
                          </a:schemeClr>
                        </a:solidFill>
                        <a:ln w="9525">
                          <a:noFill/>
                          <a:miter lim="800000"/>
                          <a:headEnd/>
                          <a:tailEnd/>
                        </a:ln>
                      </wps:spPr>
                      <wps:txbx>
                        <w:txbxContent>
                          <w:p w:rsidR="00A71747" w:rsidRPr="006A4BE8" w:rsidRDefault="00A71747" w:rsidP="006A4BE8">
                            <w:pPr>
                              <w:spacing w:after="0"/>
                              <w:rPr>
                                <w:color w:val="FFFFFF" w:themeColor="background1"/>
                              </w:rPr>
                            </w:pPr>
                            <w:r w:rsidRPr="006A4BE8">
                              <w:rPr>
                                <w:color w:val="FFFFFF" w:themeColor="background1"/>
                                <w:lang w:val="en-US"/>
                              </w:rPr>
                              <w:t>This document is an administrative tool intended to assist</w:t>
                            </w:r>
                            <w:r>
                              <w:rPr>
                                <w:color w:val="FFFFFF" w:themeColor="background1"/>
                                <w:lang w:val="en-US"/>
                              </w:rPr>
                              <w:t xml:space="preserve"> custodians</w:t>
                            </w:r>
                            <w:r w:rsidRPr="006A4BE8">
                              <w:rPr>
                                <w:color w:val="FFFFFF" w:themeColor="background1"/>
                                <w:lang w:val="en-US"/>
                              </w:rPr>
                              <w:t xml:space="preserve"> in understanding the </w:t>
                            </w:r>
                            <w:r>
                              <w:rPr>
                                <w:i/>
                                <w:iCs/>
                                <w:color w:val="FFFFFF" w:themeColor="background1"/>
                                <w:lang w:val="en-US"/>
                              </w:rPr>
                              <w:t>Health Information Act</w:t>
                            </w:r>
                            <w:r w:rsidRPr="006A4BE8">
                              <w:rPr>
                                <w:i/>
                                <w:iCs/>
                                <w:color w:val="FFFFFF" w:themeColor="background1"/>
                                <w:lang w:val="en-US"/>
                              </w:rPr>
                              <w:t xml:space="preserve"> </w:t>
                            </w:r>
                            <w:r w:rsidRPr="006A4BE8">
                              <w:rPr>
                                <w:color w:val="FFFFFF" w:themeColor="background1"/>
                                <w:lang w:val="en-US"/>
                              </w:rPr>
                              <w:t>(</w:t>
                            </w:r>
                            <w:r>
                              <w:rPr>
                                <w:color w:val="FFFFFF" w:themeColor="background1"/>
                                <w:lang w:val="en-US"/>
                              </w:rPr>
                              <w:t>HIA</w:t>
                            </w:r>
                            <w:r w:rsidRPr="006A4BE8">
                              <w:rPr>
                                <w:color w:val="FFFFFF" w:themeColor="background1"/>
                                <w:lang w:val="en-US"/>
                              </w:rPr>
                              <w:t xml:space="preserve">). This document is not intended as, nor is it a substitute for, legal advice. For the exact wording and interpretation of </w:t>
                            </w:r>
                            <w:r>
                              <w:rPr>
                                <w:color w:val="FFFFFF" w:themeColor="background1"/>
                                <w:lang w:val="en-US"/>
                              </w:rPr>
                              <w:t>HI</w:t>
                            </w:r>
                            <w:r w:rsidRPr="006A4BE8">
                              <w:rPr>
                                <w:color w:val="FFFFFF" w:themeColor="background1"/>
                                <w:lang w:val="en-US"/>
                              </w:rPr>
                              <w:t xml:space="preserve">A, please read the Act and its regulation in their entirety. This document is not binding on the Office of the Information and Privacy Commissioner of Alberta.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57.05pt;margin-top:19.45pt;width:38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" fillcolor="#a5a1a1 [1951]" stroked="f">
                <v:textbox style="mso-fit-shape-to-text:t">
                  <w:txbxContent>
                    <w:p w:rsidR="00A71747" w:rsidRPr="006A4BE8" w:rsidRDefault="00A71747" w:rsidP="006A4BE8">
                      <w:pPr>
                        <w:spacing w:after="0"/>
                        <w:rPr>
                          <w:color w:val="FFFFFF" w:themeColor="background1"/>
                        </w:rPr>
                      </w:pPr>
                      <w:r w:rsidRPr="006A4BE8">
                        <w:rPr>
                          <w:color w:val="FFFFFF" w:themeColor="background1"/>
                          <w:lang w:val="en-US"/>
                        </w:rPr>
                        <w:t>This document is an administrative tool intended to assist</w:t>
                      </w:r>
                      <w:r>
                        <w:rPr>
                          <w:color w:val="FFFFFF" w:themeColor="background1"/>
                          <w:lang w:val="en-US"/>
                        </w:rPr>
                        <w:t xml:space="preserve"> custodians</w:t>
                      </w:r>
                      <w:r w:rsidRPr="006A4BE8">
                        <w:rPr>
                          <w:color w:val="FFFFFF" w:themeColor="background1"/>
                          <w:lang w:val="en-US"/>
                        </w:rPr>
                        <w:t xml:space="preserve"> in understanding the </w:t>
                      </w:r>
                      <w:r>
                        <w:rPr>
                          <w:i/>
                          <w:iCs/>
                          <w:color w:val="FFFFFF" w:themeColor="background1"/>
                          <w:lang w:val="en-US"/>
                        </w:rPr>
                        <w:t>Health Information Act</w:t>
                      </w:r>
                      <w:r w:rsidRPr="006A4BE8">
                        <w:rPr>
                          <w:i/>
                          <w:iCs/>
                          <w:color w:val="FFFFFF" w:themeColor="background1"/>
                          <w:lang w:val="en-US"/>
                        </w:rPr>
                        <w:t xml:space="preserve"> </w:t>
                      </w:r>
                      <w:r w:rsidRPr="006A4BE8">
                        <w:rPr>
                          <w:color w:val="FFFFFF" w:themeColor="background1"/>
                          <w:lang w:val="en-US"/>
                        </w:rPr>
                        <w:t>(</w:t>
                      </w:r>
                      <w:r>
                        <w:rPr>
                          <w:color w:val="FFFFFF" w:themeColor="background1"/>
                          <w:lang w:val="en-US"/>
                        </w:rPr>
                        <w:t>HIA</w:t>
                      </w:r>
                      <w:r w:rsidRPr="006A4BE8">
                        <w:rPr>
                          <w:color w:val="FFFFFF" w:themeColor="background1"/>
                          <w:lang w:val="en-US"/>
                        </w:rPr>
                        <w:t xml:space="preserve">). This document is not intended as, nor is it a substitute for, legal advice. For the exact wording and interpretation of </w:t>
                      </w:r>
                      <w:r>
                        <w:rPr>
                          <w:color w:val="FFFFFF" w:themeColor="background1"/>
                          <w:lang w:val="en-US"/>
                        </w:rPr>
                        <w:t>HI</w:t>
                      </w:r>
                      <w:r w:rsidRPr="006A4BE8">
                        <w:rPr>
                          <w:color w:val="FFFFFF" w:themeColor="background1"/>
                          <w:lang w:val="en-US"/>
                        </w:rPr>
                        <w:t xml:space="preserve">A, please read the Act and its regulation in their entirety. This document is not binding on the Office of the Information and Privacy Commissioner of Alberta. </w:t>
                      </w:r>
                    </w:p>
                  </w:txbxContent>
                </v:textbox>
              </v:shape>
            </w:pict>
          </mc:Fallback>
        </mc:AlternateContent>
      </w:r>
    </w:p>
    <w:p w:rsidR="006A4BE8" w:rsidRDefault="006A4BE8" w:rsidP="006A4BE8">
      <w:pPr>
        <w:spacing w:after="200" w:line="276" w:lineRule="auto"/>
        <w:jc w:val="center"/>
        <w:rPr>
          <w:b/>
          <w:color w:val="81232C"/>
        </w:rPr>
      </w:pPr>
    </w:p>
    <w:p w:rsidR="00673109" w:rsidRDefault="00673109">
      <w:pPr>
        <w:spacing w:after="200" w:line="276" w:lineRule="auto"/>
        <w:rPr>
          <w:rFonts w:eastAsiaTheme="majorEastAsia" w:cstheme="majorBidi"/>
          <w:b/>
          <w:bCs/>
          <w:color w:val="81232C"/>
          <w:sz w:val="36"/>
          <w:szCs w:val="28"/>
        </w:rPr>
      </w:pPr>
      <w:r>
        <w:br w:type="page"/>
      </w:r>
    </w:p>
    <w:p w:rsidR="00225ED8" w:rsidRPr="00C12DA1" w:rsidRDefault="00FE4FDB" w:rsidP="00FA7BC1">
      <w:pPr>
        <w:pStyle w:val="Heading1"/>
      </w:pPr>
      <w:r>
        <w:lastRenderedPageBreak/>
        <w:t>Assessment</w:t>
      </w:r>
      <w:r w:rsidR="00225ED8" w:rsidRPr="00C12DA1">
        <w:t xml:space="preserve"> of System Safeguards</w:t>
      </w:r>
    </w:p>
    <w:p w:rsidR="006A4BE8" w:rsidRPr="006A4BE8" w:rsidRDefault="006A4BE8" w:rsidP="000C736A">
      <w:pPr>
        <w:spacing w:after="120"/>
      </w:pPr>
      <w:r>
        <w:t>In the table</w:t>
      </w:r>
      <w:r w:rsidR="006A64EA">
        <w:t>s</w:t>
      </w:r>
      <w:r>
        <w:t xml:space="preserve"> below, describe how you meet </w:t>
      </w:r>
      <w:r w:rsidR="00996326">
        <w:t xml:space="preserve">the HIA </w:t>
      </w:r>
      <w:r w:rsidR="006573D7">
        <w:t>requirements using the sample practices as a guide. The samples</w:t>
      </w:r>
      <w:r>
        <w:t xml:space="preserve"> are based on the OIPC’s observation</w:t>
      </w:r>
      <w:r w:rsidR="00410FDF">
        <w:t>s</w:t>
      </w:r>
      <w:r>
        <w:t xml:space="preserve"> of successfully implemented </w:t>
      </w:r>
      <w:r w:rsidR="00202A40">
        <w:t>EHR</w:t>
      </w:r>
      <w:r>
        <w:t xml:space="preserve"> systems in Alberta’s health sector.</w:t>
      </w:r>
    </w:p>
    <w:p w:rsidR="00C90795" w:rsidRPr="0041724D" w:rsidRDefault="00C90795" w:rsidP="000C736A">
      <w:pPr>
        <w:spacing w:after="120"/>
        <w:rPr>
          <w:b/>
          <w:color w:val="007684"/>
        </w:rPr>
      </w:pPr>
      <w:r w:rsidRPr="0041724D">
        <w:rPr>
          <w:b/>
          <w:color w:val="007684"/>
        </w:rPr>
        <w:t>Custodian:</w:t>
      </w:r>
      <w:r w:rsidR="00BE6B50">
        <w:rPr>
          <w:b/>
          <w:color w:val="007684"/>
        </w:rPr>
        <w:t xml:space="preserve"> </w:t>
      </w:r>
      <w:r w:rsidRPr="0041724D">
        <w:rPr>
          <w:b/>
          <w:color w:val="007684"/>
        </w:rPr>
        <w:t xml:space="preserve"> </w:t>
      </w:r>
      <w:r w:rsidR="00307D2F">
        <w:rPr>
          <w:b/>
          <w:color w:val="007684"/>
        </w:rPr>
        <w:fldChar w:fldCharType="begin">
          <w:ffData>
            <w:name w:val="Text23"/>
            <w:enabled/>
            <w:calcOnExit w:val="0"/>
            <w:textInput/>
          </w:ffData>
        </w:fldChar>
      </w:r>
      <w:bookmarkStart w:id="0" w:name="Text23"/>
      <w:r w:rsidR="00307D2F">
        <w:rPr>
          <w:b/>
          <w:color w:val="007684"/>
        </w:rPr>
        <w:instrText xml:space="preserve"> FORMTEXT </w:instrText>
      </w:r>
      <w:r w:rsidR="00307D2F">
        <w:rPr>
          <w:b/>
          <w:color w:val="007684"/>
        </w:rPr>
      </w:r>
      <w:r w:rsidR="00307D2F">
        <w:rPr>
          <w:b/>
          <w:color w:val="007684"/>
        </w:rPr>
        <w:fldChar w:fldCharType="separate"/>
      </w:r>
      <w:r w:rsidR="00307D2F">
        <w:rPr>
          <w:b/>
          <w:noProof/>
          <w:color w:val="007684"/>
        </w:rPr>
        <w:t> </w:t>
      </w:r>
      <w:r w:rsidR="00307D2F">
        <w:rPr>
          <w:b/>
          <w:noProof/>
          <w:color w:val="007684"/>
        </w:rPr>
        <w:t> </w:t>
      </w:r>
      <w:r w:rsidR="00307D2F">
        <w:rPr>
          <w:b/>
          <w:noProof/>
          <w:color w:val="007684"/>
        </w:rPr>
        <w:t> </w:t>
      </w:r>
      <w:r w:rsidR="00307D2F">
        <w:rPr>
          <w:b/>
          <w:noProof/>
          <w:color w:val="007684"/>
        </w:rPr>
        <w:t> </w:t>
      </w:r>
      <w:r w:rsidR="00307D2F">
        <w:rPr>
          <w:b/>
          <w:noProof/>
          <w:color w:val="007684"/>
        </w:rPr>
        <w:t> </w:t>
      </w:r>
      <w:r w:rsidR="00307D2F">
        <w:rPr>
          <w:b/>
          <w:color w:val="007684"/>
        </w:rPr>
        <w:fldChar w:fldCharType="end"/>
      </w:r>
      <w:bookmarkEnd w:id="0"/>
    </w:p>
    <w:p w:rsidR="00C90795" w:rsidRPr="0041724D" w:rsidRDefault="00C90795" w:rsidP="000C736A">
      <w:pPr>
        <w:spacing w:after="120"/>
        <w:rPr>
          <w:b/>
          <w:color w:val="007684"/>
        </w:rPr>
      </w:pPr>
      <w:r w:rsidRPr="0041724D">
        <w:rPr>
          <w:b/>
          <w:color w:val="007684"/>
        </w:rPr>
        <w:t>Information Manager:</w:t>
      </w:r>
      <w:r w:rsidR="00BE6B50">
        <w:rPr>
          <w:b/>
          <w:color w:val="007684"/>
        </w:rPr>
        <w:t xml:space="preserve">  </w:t>
      </w:r>
      <w:r w:rsidR="00307D2F">
        <w:rPr>
          <w:b/>
          <w:color w:val="007684"/>
        </w:rPr>
        <w:fldChar w:fldCharType="begin">
          <w:ffData>
            <w:name w:val="Text24"/>
            <w:enabled/>
            <w:calcOnExit w:val="0"/>
            <w:textInput/>
          </w:ffData>
        </w:fldChar>
      </w:r>
      <w:bookmarkStart w:id="1" w:name="Text24"/>
      <w:r w:rsidR="00307D2F">
        <w:rPr>
          <w:b/>
          <w:color w:val="007684"/>
        </w:rPr>
        <w:instrText xml:space="preserve"> FORMTEXT </w:instrText>
      </w:r>
      <w:r w:rsidR="00307D2F">
        <w:rPr>
          <w:b/>
          <w:color w:val="007684"/>
        </w:rPr>
      </w:r>
      <w:r w:rsidR="00307D2F">
        <w:rPr>
          <w:b/>
          <w:color w:val="007684"/>
        </w:rPr>
        <w:fldChar w:fldCharType="separate"/>
      </w:r>
      <w:r w:rsidR="00307D2F">
        <w:rPr>
          <w:b/>
          <w:noProof/>
          <w:color w:val="007684"/>
        </w:rPr>
        <w:t> </w:t>
      </w:r>
      <w:r w:rsidR="00307D2F">
        <w:rPr>
          <w:b/>
          <w:noProof/>
          <w:color w:val="007684"/>
        </w:rPr>
        <w:t> </w:t>
      </w:r>
      <w:r w:rsidR="00307D2F">
        <w:rPr>
          <w:b/>
          <w:noProof/>
          <w:color w:val="007684"/>
        </w:rPr>
        <w:t> </w:t>
      </w:r>
      <w:r w:rsidR="00307D2F">
        <w:rPr>
          <w:b/>
          <w:noProof/>
          <w:color w:val="007684"/>
        </w:rPr>
        <w:t> </w:t>
      </w:r>
      <w:r w:rsidR="00307D2F">
        <w:rPr>
          <w:b/>
          <w:noProof/>
          <w:color w:val="007684"/>
        </w:rPr>
        <w:t> </w:t>
      </w:r>
      <w:r w:rsidR="00307D2F">
        <w:rPr>
          <w:b/>
          <w:color w:val="007684"/>
        </w:rPr>
        <w:fldChar w:fldCharType="end"/>
      </w:r>
      <w:bookmarkEnd w:id="1"/>
    </w:p>
    <w:tbl>
      <w:tblPr>
        <w:tblW w:w="14628" w:type="dxa"/>
        <w:tblBorders>
          <w:insideH w:val="single" w:sz="4" w:space="0" w:color="auto"/>
          <w:insideV w:val="single" w:sz="4" w:space="0" w:color="auto"/>
        </w:tblBorders>
        <w:shd w:val="clear" w:color="auto" w:fill="FFFFFF" w:themeFill="background1"/>
        <w:tblLook w:val="00A0" w:firstRow="1" w:lastRow="0" w:firstColumn="1" w:lastColumn="0" w:noHBand="0" w:noVBand="0"/>
      </w:tblPr>
      <w:tblGrid>
        <w:gridCol w:w="4876"/>
        <w:gridCol w:w="4876"/>
        <w:gridCol w:w="4876"/>
      </w:tblGrid>
      <w:tr w:rsidR="0041724D" w:rsidRPr="0041724D" w:rsidTr="006A64EA">
        <w:trPr>
          <w:trHeight w:val="489"/>
        </w:trPr>
        <w:tc>
          <w:tcPr>
            <w:tcW w:w="4876" w:type="dxa"/>
            <w:vMerge w:val="restart"/>
            <w:shd w:val="clear" w:color="auto" w:fill="FFFFFF" w:themeFill="background1"/>
          </w:tcPr>
          <w:p w:rsidR="00010C59" w:rsidRPr="0041724D" w:rsidRDefault="00010C59" w:rsidP="00B328C2">
            <w:pPr>
              <w:pStyle w:val="Heading2"/>
              <w:spacing w:after="0"/>
              <w:rPr>
                <w:color w:val="81232C"/>
              </w:rPr>
            </w:pPr>
            <w:r w:rsidRPr="0041724D">
              <w:rPr>
                <w:color w:val="81232C"/>
              </w:rPr>
              <w:t xml:space="preserve">HIA Requirements </w:t>
            </w:r>
          </w:p>
          <w:p w:rsidR="00010C59" w:rsidRPr="0041724D" w:rsidRDefault="00225ED8" w:rsidP="00B328C2">
            <w:pPr>
              <w:spacing w:after="0"/>
              <w:rPr>
                <w:color w:val="007684"/>
              </w:rPr>
            </w:pPr>
            <w:r w:rsidRPr="0041724D">
              <w:rPr>
                <w:color w:val="000000" w:themeColor="text1"/>
              </w:rPr>
              <w:t xml:space="preserve">A brief description with applicable sections in </w:t>
            </w:r>
            <w:r w:rsidR="00010C59" w:rsidRPr="0041724D">
              <w:rPr>
                <w:color w:val="000000" w:themeColor="text1"/>
              </w:rPr>
              <w:t>HIA.</w:t>
            </w:r>
          </w:p>
        </w:tc>
        <w:tc>
          <w:tcPr>
            <w:tcW w:w="4876" w:type="dxa"/>
            <w:vMerge w:val="restart"/>
            <w:shd w:val="clear" w:color="auto" w:fill="FFFFFF" w:themeFill="background1"/>
          </w:tcPr>
          <w:p w:rsidR="00010C59" w:rsidRPr="0041724D" w:rsidRDefault="006573D7" w:rsidP="00B328C2">
            <w:pPr>
              <w:pStyle w:val="Heading2"/>
              <w:spacing w:after="0"/>
              <w:rPr>
                <w:color w:val="007684"/>
              </w:rPr>
            </w:pPr>
            <w:r>
              <w:rPr>
                <w:color w:val="81232C"/>
              </w:rPr>
              <w:t>Sample</w:t>
            </w:r>
            <w:r w:rsidR="00010C59" w:rsidRPr="0041724D">
              <w:rPr>
                <w:color w:val="81232C"/>
              </w:rPr>
              <w:t xml:space="preserve"> Practices</w:t>
            </w:r>
          </w:p>
          <w:p w:rsidR="00010C59" w:rsidRPr="0041724D" w:rsidRDefault="009766F1" w:rsidP="00B328C2">
            <w:pPr>
              <w:spacing w:after="0"/>
              <w:rPr>
                <w:color w:val="007684"/>
              </w:rPr>
            </w:pPr>
            <w:r>
              <w:rPr>
                <w:color w:val="000000" w:themeColor="text1"/>
              </w:rPr>
              <w:t>Examples of</w:t>
            </w:r>
            <w:r w:rsidR="00010C59" w:rsidRPr="0041724D">
              <w:rPr>
                <w:color w:val="000000" w:themeColor="text1"/>
              </w:rPr>
              <w:t xml:space="preserve"> practices associated with the HIA requirement. You may take other reasonable steps to meet the requirement. </w:t>
            </w:r>
          </w:p>
        </w:tc>
        <w:tc>
          <w:tcPr>
            <w:tcW w:w="4876" w:type="dxa"/>
            <w:vMerge w:val="restart"/>
            <w:shd w:val="clear" w:color="auto" w:fill="FFFFFF" w:themeFill="background1"/>
          </w:tcPr>
          <w:p w:rsidR="00010C59" w:rsidRPr="0041724D" w:rsidRDefault="00010C59" w:rsidP="00B328C2">
            <w:pPr>
              <w:pStyle w:val="Heading2"/>
              <w:spacing w:after="0"/>
              <w:rPr>
                <w:color w:val="81232C"/>
              </w:rPr>
            </w:pPr>
            <w:r w:rsidRPr="0041724D">
              <w:rPr>
                <w:color w:val="81232C"/>
              </w:rPr>
              <w:t>Describe How You Meet the Requirement</w:t>
            </w:r>
          </w:p>
          <w:p w:rsidR="00010C59" w:rsidRPr="0041724D" w:rsidRDefault="00010C59" w:rsidP="00B328C2">
            <w:pPr>
              <w:spacing w:after="0"/>
              <w:rPr>
                <w:b/>
                <w:color w:val="007684"/>
              </w:rPr>
            </w:pPr>
            <w:r w:rsidRPr="0041724D">
              <w:rPr>
                <w:color w:val="000000" w:themeColor="text1"/>
              </w:rPr>
              <w:t>Steps you have taken to meet HIA requirement</w:t>
            </w:r>
            <w:r w:rsidR="00225ED8" w:rsidRPr="0041724D">
              <w:rPr>
                <w:color w:val="000000" w:themeColor="text1"/>
              </w:rPr>
              <w:t>s</w:t>
            </w:r>
            <w:r w:rsidRPr="0041724D">
              <w:rPr>
                <w:color w:val="000000" w:themeColor="text1"/>
              </w:rPr>
              <w:t>, such as technical, physical and/or administrative safeguards.</w:t>
            </w:r>
          </w:p>
        </w:tc>
      </w:tr>
      <w:tr w:rsidR="0041724D" w:rsidRPr="0041724D" w:rsidTr="006A64EA">
        <w:trPr>
          <w:trHeight w:val="489"/>
        </w:trPr>
        <w:tc>
          <w:tcPr>
            <w:tcW w:w="4876" w:type="dxa"/>
            <w:vMerge/>
            <w:shd w:val="clear" w:color="auto" w:fill="FFFFFF" w:themeFill="background1"/>
          </w:tcPr>
          <w:p w:rsidR="00010C59" w:rsidRPr="0041724D" w:rsidRDefault="00010C59" w:rsidP="00B328C2">
            <w:pPr>
              <w:spacing w:after="0"/>
              <w:rPr>
                <w:b/>
                <w:color w:val="007684"/>
              </w:rPr>
            </w:pPr>
          </w:p>
        </w:tc>
        <w:tc>
          <w:tcPr>
            <w:tcW w:w="4876" w:type="dxa"/>
            <w:vMerge/>
            <w:shd w:val="clear" w:color="auto" w:fill="FFFFFF" w:themeFill="background1"/>
          </w:tcPr>
          <w:p w:rsidR="00010C59" w:rsidRPr="0041724D" w:rsidRDefault="00010C59" w:rsidP="00B328C2">
            <w:pPr>
              <w:spacing w:after="0"/>
              <w:rPr>
                <w:b/>
                <w:color w:val="007684"/>
              </w:rPr>
            </w:pPr>
          </w:p>
        </w:tc>
        <w:tc>
          <w:tcPr>
            <w:tcW w:w="4876" w:type="dxa"/>
            <w:vMerge/>
            <w:shd w:val="clear" w:color="auto" w:fill="FFFFFF" w:themeFill="background1"/>
          </w:tcPr>
          <w:p w:rsidR="00010C59" w:rsidRPr="0041724D" w:rsidRDefault="00010C59" w:rsidP="00B328C2">
            <w:pPr>
              <w:spacing w:after="0"/>
              <w:rPr>
                <w:color w:val="007684"/>
              </w:rPr>
            </w:pPr>
          </w:p>
        </w:tc>
      </w:tr>
    </w:tbl>
    <w:p w:rsidR="00010C59" w:rsidRDefault="00010C59" w:rsidP="00FA7BC1">
      <w:pPr>
        <w:pStyle w:val="Heading1"/>
      </w:pPr>
      <w:bookmarkStart w:id="2" w:name="_Privacy_Accountability"/>
      <w:bookmarkEnd w:id="2"/>
      <w:r>
        <w:t xml:space="preserve">Privacy </w:t>
      </w:r>
      <w:r w:rsidRPr="00010C59">
        <w:t>Accountability</w:t>
      </w:r>
    </w:p>
    <w:tbl>
      <w:tblPr>
        <w:tblW w:w="1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6"/>
        <w:gridCol w:w="4876"/>
        <w:gridCol w:w="4876"/>
      </w:tblGrid>
      <w:tr w:rsidR="00673109" w:rsidRPr="006F1035" w:rsidTr="00673109">
        <w:tc>
          <w:tcPr>
            <w:tcW w:w="4876" w:type="dxa"/>
            <w:shd w:val="clear" w:color="auto" w:fill="007684"/>
          </w:tcPr>
          <w:p w:rsidR="00010C59" w:rsidRPr="00010C59" w:rsidRDefault="00010C59" w:rsidP="00010C59">
            <w:pPr>
              <w:pStyle w:val="Heading2"/>
              <w:spacing w:after="0"/>
              <w:rPr>
                <w:color w:val="FFFFFF" w:themeColor="background1"/>
              </w:rPr>
            </w:pPr>
            <w:r w:rsidRPr="00010C59">
              <w:rPr>
                <w:color w:val="FFFFFF" w:themeColor="background1"/>
              </w:rPr>
              <w:t xml:space="preserve">HIA Requirements </w:t>
            </w:r>
          </w:p>
        </w:tc>
        <w:tc>
          <w:tcPr>
            <w:tcW w:w="4876" w:type="dxa"/>
            <w:shd w:val="clear" w:color="auto" w:fill="007684"/>
          </w:tcPr>
          <w:p w:rsidR="00010C59" w:rsidRPr="00010C59" w:rsidRDefault="006573D7" w:rsidP="00010C59">
            <w:pPr>
              <w:spacing w:after="0"/>
              <w:contextualSpacing/>
              <w:rPr>
                <w:b/>
                <w:color w:val="FFFFFF" w:themeColor="background1"/>
              </w:rPr>
            </w:pPr>
            <w:r>
              <w:rPr>
                <w:b/>
                <w:color w:val="FFFFFF" w:themeColor="background1"/>
              </w:rPr>
              <w:t>Sample</w:t>
            </w:r>
            <w:r w:rsidR="00010C59" w:rsidRPr="00010C59">
              <w:rPr>
                <w:b/>
                <w:color w:val="FFFFFF" w:themeColor="background1"/>
              </w:rPr>
              <w:t xml:space="preserve"> Practices</w:t>
            </w:r>
          </w:p>
        </w:tc>
        <w:tc>
          <w:tcPr>
            <w:tcW w:w="4876" w:type="dxa"/>
            <w:shd w:val="clear" w:color="auto" w:fill="007684"/>
          </w:tcPr>
          <w:p w:rsidR="00010C59" w:rsidRPr="00010C59" w:rsidRDefault="00010C59" w:rsidP="00010C59">
            <w:pPr>
              <w:spacing w:after="0"/>
              <w:contextualSpacing/>
              <w:rPr>
                <w:b/>
                <w:color w:val="FFFFFF" w:themeColor="background1"/>
              </w:rPr>
            </w:pPr>
            <w:r>
              <w:rPr>
                <w:b/>
                <w:color w:val="FFFFFF" w:themeColor="background1"/>
              </w:rPr>
              <w:t>Describe How You Meet the Requirement</w:t>
            </w:r>
          </w:p>
        </w:tc>
      </w:tr>
      <w:tr w:rsidR="00673109" w:rsidRPr="006F1035" w:rsidTr="006A64EA">
        <w:trPr>
          <w:trHeight w:val="60"/>
        </w:trPr>
        <w:tc>
          <w:tcPr>
            <w:tcW w:w="4876" w:type="dxa"/>
          </w:tcPr>
          <w:p w:rsidR="00010C59" w:rsidRPr="006F1035" w:rsidRDefault="00010C59" w:rsidP="00A71747">
            <w:r w:rsidRPr="006F1035">
              <w:t xml:space="preserve">This is a broad requirement that sets out privacy roles and accountability for the custodian.  </w:t>
            </w:r>
          </w:p>
          <w:p w:rsidR="00010C59" w:rsidRPr="006F1035" w:rsidRDefault="00010C59" w:rsidP="00010C59">
            <w:pPr>
              <w:pStyle w:val="Numbered"/>
            </w:pPr>
            <w:r w:rsidRPr="006F1035">
              <w:t>HIA section</w:t>
            </w:r>
            <w:r>
              <w:t>s</w:t>
            </w:r>
            <w:r w:rsidR="00996326">
              <w:t xml:space="preserve"> 62 and 63</w:t>
            </w:r>
            <w:r w:rsidRPr="006F1035">
              <w:t xml:space="preserve">  </w:t>
            </w:r>
          </w:p>
          <w:p w:rsidR="00010C59" w:rsidRPr="006F1035" w:rsidRDefault="00010C59" w:rsidP="00010C59">
            <w:pPr>
              <w:pStyle w:val="Numbered"/>
            </w:pPr>
            <w:r w:rsidRPr="006F1035">
              <w:rPr>
                <w:i/>
              </w:rPr>
              <w:t>Health Information Regulation</w:t>
            </w:r>
            <w:r w:rsidR="00996326">
              <w:t xml:space="preserve"> section 8</w:t>
            </w:r>
          </w:p>
          <w:p w:rsidR="00010C59" w:rsidRPr="006F1035" w:rsidRDefault="00010C59" w:rsidP="00A71747">
            <w:r w:rsidRPr="006F1035">
              <w:t xml:space="preserve"> </w:t>
            </w:r>
          </w:p>
        </w:tc>
        <w:tc>
          <w:tcPr>
            <w:tcW w:w="4876" w:type="dxa"/>
          </w:tcPr>
          <w:p w:rsidR="00010C59" w:rsidRPr="006F1035" w:rsidRDefault="00010C59" w:rsidP="00010C59">
            <w:pPr>
              <w:spacing w:after="0"/>
              <w:contextualSpacing/>
            </w:pPr>
            <w:r w:rsidRPr="006F1035">
              <w:t xml:space="preserve">A </w:t>
            </w:r>
            <w:r>
              <w:t xml:space="preserve">governance and </w:t>
            </w:r>
            <w:r w:rsidRPr="006F1035">
              <w:t>accountability structure is created that establishes</w:t>
            </w:r>
            <w:r>
              <w:t>:</w:t>
            </w:r>
          </w:p>
          <w:p w:rsidR="00010C59" w:rsidRPr="00FA1148" w:rsidRDefault="00010C59" w:rsidP="00010C59">
            <w:pPr>
              <w:pStyle w:val="Numbered"/>
            </w:pPr>
            <w:r w:rsidRPr="00D95D11">
              <w:t xml:space="preserve">A written access and privacy </w:t>
            </w:r>
            <w:r w:rsidRPr="00FA1148">
              <w:t>policy</w:t>
            </w:r>
            <w:r>
              <w:t xml:space="preserve"> that sets out the custodian’s direction on HIA compliance</w:t>
            </w:r>
            <w:r w:rsidR="000C736A">
              <w:t>.</w:t>
            </w:r>
            <w:r w:rsidRPr="00FA1148">
              <w:t xml:space="preserve"> </w:t>
            </w:r>
          </w:p>
          <w:p w:rsidR="00010C59" w:rsidRPr="00FA1148" w:rsidRDefault="00010C59" w:rsidP="00010C59">
            <w:pPr>
              <w:pStyle w:val="Numbered"/>
            </w:pPr>
            <w:r w:rsidRPr="00FA1148">
              <w:t xml:space="preserve">Who the custodian has made responsible for </w:t>
            </w:r>
            <w:r>
              <w:t>HIA</w:t>
            </w:r>
            <w:r w:rsidRPr="00FA1148">
              <w:t xml:space="preserve"> compliance</w:t>
            </w:r>
            <w:r>
              <w:t xml:space="preserve"> and the</w:t>
            </w:r>
            <w:r w:rsidRPr="00FA1148">
              <w:t xml:space="preserve"> reporting relationship between that role and the custodian</w:t>
            </w:r>
            <w:r w:rsidR="000C736A">
              <w:t>.</w:t>
            </w:r>
          </w:p>
          <w:p w:rsidR="00010C59" w:rsidRPr="006F1035" w:rsidRDefault="00010C59" w:rsidP="00010C59">
            <w:pPr>
              <w:pStyle w:val="Numbered"/>
            </w:pPr>
            <w:r>
              <w:t>T</w:t>
            </w:r>
            <w:r w:rsidRPr="006F1035">
              <w:t xml:space="preserve">he </w:t>
            </w:r>
            <w:r w:rsidR="000C736A">
              <w:t>duties and role of</w:t>
            </w:r>
            <w:r w:rsidRPr="006F1035">
              <w:t xml:space="preserve"> privacy</w:t>
            </w:r>
            <w:r>
              <w:t>/security</w:t>
            </w:r>
            <w:r w:rsidRPr="006F1035">
              <w:t xml:space="preserve"> officer</w:t>
            </w:r>
            <w:r w:rsidR="000C736A">
              <w:t>.</w:t>
            </w:r>
            <w:r w:rsidRPr="006F1035">
              <w:t xml:space="preserve">   </w:t>
            </w:r>
          </w:p>
          <w:p w:rsidR="00010C59" w:rsidRPr="006F1035" w:rsidRDefault="00010C59" w:rsidP="00010C59">
            <w:pPr>
              <w:pStyle w:val="Numbered"/>
            </w:pPr>
            <w:r>
              <w:t>How s</w:t>
            </w:r>
            <w:r w:rsidRPr="006F1035">
              <w:t>ystem users confirm their understanding and agreement with the custodian’s policies and procedures related to the privacy and security of health information</w:t>
            </w:r>
            <w:r w:rsidR="000C736A">
              <w:t>.</w:t>
            </w:r>
            <w:r w:rsidRPr="006F1035">
              <w:t xml:space="preserve"> </w:t>
            </w:r>
          </w:p>
          <w:p w:rsidR="00010C59" w:rsidRDefault="003406B7" w:rsidP="00010C59">
            <w:pPr>
              <w:pStyle w:val="Numbered"/>
            </w:pPr>
            <w:r>
              <w:t>P</w:t>
            </w:r>
            <w:r w:rsidR="00010C59" w:rsidRPr="006F1035">
              <w:t>rivacy statements or reminders are included on system screens</w:t>
            </w:r>
            <w:r w:rsidR="000C736A">
              <w:t>.</w:t>
            </w:r>
            <w:r w:rsidR="00010C59" w:rsidRPr="006F1035">
              <w:t xml:space="preserve"> </w:t>
            </w:r>
          </w:p>
          <w:p w:rsidR="00010C59" w:rsidRDefault="00010C59" w:rsidP="00010C59">
            <w:pPr>
              <w:pStyle w:val="Numbered"/>
            </w:pPr>
            <w:r>
              <w:t>Training and awareness</w:t>
            </w:r>
            <w:r w:rsidR="000C736A">
              <w:t>.</w:t>
            </w:r>
          </w:p>
          <w:p w:rsidR="00010C59" w:rsidRPr="006F1035" w:rsidRDefault="00010C59" w:rsidP="00010C59">
            <w:pPr>
              <w:pStyle w:val="Numbered"/>
            </w:pPr>
            <w:r>
              <w:t>Response plans for privacy breaches</w:t>
            </w:r>
            <w:r w:rsidR="000C736A">
              <w:t>.</w:t>
            </w:r>
          </w:p>
          <w:p w:rsidR="00010C59" w:rsidRPr="00A44A6D" w:rsidRDefault="00010C59" w:rsidP="00202A40">
            <w:pPr>
              <w:pStyle w:val="Numbered"/>
            </w:pPr>
            <w:r w:rsidRPr="006F1035">
              <w:t>The system provides reporting mechanisms for privacy management</w:t>
            </w:r>
            <w:r>
              <w:t>, such as audit and disclosure logs</w:t>
            </w:r>
            <w:r w:rsidRPr="006F1035">
              <w:t>.</w:t>
            </w:r>
          </w:p>
        </w:tc>
        <w:tc>
          <w:tcPr>
            <w:tcW w:w="4876" w:type="dxa"/>
          </w:tcPr>
          <w:p w:rsidR="00010C59" w:rsidRPr="006F1035" w:rsidRDefault="00307D2F" w:rsidP="00F46065">
            <w:pPr>
              <w:spacing w:after="0"/>
              <w:contextualSpacing/>
            </w:pPr>
            <w:r>
              <w:fldChar w:fldCharType="begin">
                <w:ffData>
                  <w:name w:val="Text25"/>
                  <w:enabled/>
                  <w:calcOnExit w:val="0"/>
                  <w:textInput/>
                </w:ffData>
              </w:fldChar>
            </w:r>
            <w:bookmarkStart w:id="3"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rsidR="00010C59" w:rsidRDefault="00010C59" w:rsidP="00FA7BC1">
      <w:pPr>
        <w:pStyle w:val="Heading1"/>
      </w:pPr>
      <w:r>
        <w:lastRenderedPageBreak/>
        <w:t>Access to Health Information</w:t>
      </w:r>
    </w:p>
    <w:tbl>
      <w:tblPr>
        <w:tblW w:w="1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6"/>
        <w:gridCol w:w="4876"/>
        <w:gridCol w:w="4876"/>
      </w:tblGrid>
      <w:tr w:rsidR="00010C59" w:rsidRPr="006F1035" w:rsidTr="00673109">
        <w:tc>
          <w:tcPr>
            <w:tcW w:w="4876" w:type="dxa"/>
            <w:shd w:val="clear" w:color="auto" w:fill="007684"/>
          </w:tcPr>
          <w:p w:rsidR="00010C59" w:rsidRPr="00010C59" w:rsidRDefault="00010C59" w:rsidP="00A71747">
            <w:pPr>
              <w:pStyle w:val="Heading2"/>
              <w:spacing w:after="0"/>
              <w:rPr>
                <w:color w:val="FFFFFF" w:themeColor="background1"/>
              </w:rPr>
            </w:pPr>
            <w:r w:rsidRPr="00010C59">
              <w:rPr>
                <w:color w:val="FFFFFF" w:themeColor="background1"/>
              </w:rPr>
              <w:t xml:space="preserve">HIA Requirements </w:t>
            </w:r>
          </w:p>
        </w:tc>
        <w:tc>
          <w:tcPr>
            <w:tcW w:w="4876" w:type="dxa"/>
            <w:shd w:val="clear" w:color="auto" w:fill="007684"/>
          </w:tcPr>
          <w:p w:rsidR="00010C59" w:rsidRPr="00010C59" w:rsidRDefault="006573D7" w:rsidP="00A71747">
            <w:pPr>
              <w:spacing w:after="0"/>
              <w:contextualSpacing/>
              <w:rPr>
                <w:b/>
                <w:color w:val="FFFFFF" w:themeColor="background1"/>
              </w:rPr>
            </w:pPr>
            <w:r>
              <w:rPr>
                <w:b/>
                <w:color w:val="FFFFFF" w:themeColor="background1"/>
              </w:rPr>
              <w:t>Sample</w:t>
            </w:r>
            <w:r w:rsidR="00010C59" w:rsidRPr="00010C59">
              <w:rPr>
                <w:b/>
                <w:color w:val="FFFFFF" w:themeColor="background1"/>
              </w:rPr>
              <w:t xml:space="preserve"> Practices</w:t>
            </w:r>
          </w:p>
        </w:tc>
        <w:tc>
          <w:tcPr>
            <w:tcW w:w="4876" w:type="dxa"/>
            <w:shd w:val="clear" w:color="auto" w:fill="007684"/>
          </w:tcPr>
          <w:p w:rsidR="00010C59" w:rsidRPr="00010C59" w:rsidRDefault="00010C59" w:rsidP="00A71747">
            <w:pPr>
              <w:spacing w:after="0"/>
              <w:contextualSpacing/>
              <w:rPr>
                <w:b/>
                <w:color w:val="FFFFFF" w:themeColor="background1"/>
              </w:rPr>
            </w:pPr>
            <w:r>
              <w:rPr>
                <w:b/>
                <w:color w:val="FFFFFF" w:themeColor="background1"/>
              </w:rPr>
              <w:t>Describe How You Meet the Requirement</w:t>
            </w:r>
          </w:p>
        </w:tc>
      </w:tr>
      <w:tr w:rsidR="00010C59" w:rsidRPr="006F1035" w:rsidTr="00673109">
        <w:tc>
          <w:tcPr>
            <w:tcW w:w="4876" w:type="dxa"/>
          </w:tcPr>
          <w:p w:rsidR="00010C59" w:rsidRPr="006F1035" w:rsidRDefault="00010C59" w:rsidP="00010C59">
            <w:r>
              <w:t>C</w:t>
            </w:r>
            <w:r w:rsidRPr="006F1035">
              <w:t xml:space="preserve">ustodians </w:t>
            </w:r>
            <w:r>
              <w:t xml:space="preserve">must </w:t>
            </w:r>
            <w:r w:rsidRPr="006F1035">
              <w:t>respond to requests from individuals for access to their health information within the legislated timeframe.  Custodians must be able to respond to reviews of their decisions regarding access.</w:t>
            </w:r>
          </w:p>
          <w:p w:rsidR="00010C59" w:rsidRDefault="00A925BC" w:rsidP="00010C59">
            <w:pPr>
              <w:pStyle w:val="Numbered"/>
            </w:pPr>
            <w:r>
              <w:t>HIA</w:t>
            </w:r>
            <w:r w:rsidR="00010C59" w:rsidRPr="006F1035">
              <w:t xml:space="preserve"> </w:t>
            </w:r>
            <w:r w:rsidR="00010C59">
              <w:t>p</w:t>
            </w:r>
            <w:r w:rsidR="00010C59" w:rsidRPr="006F1035">
              <w:t xml:space="preserve">art 2 </w:t>
            </w:r>
          </w:p>
          <w:p w:rsidR="00202A40" w:rsidRPr="006F1035" w:rsidRDefault="00202A40" w:rsidP="00010C59">
            <w:pPr>
              <w:pStyle w:val="Numbered"/>
            </w:pPr>
            <w:r>
              <w:rPr>
                <w:i/>
              </w:rPr>
              <w:t xml:space="preserve">Health Information Regulation </w:t>
            </w:r>
            <w:r>
              <w:t>section 10(1)</w:t>
            </w:r>
          </w:p>
        </w:tc>
        <w:tc>
          <w:tcPr>
            <w:tcW w:w="4876" w:type="dxa"/>
          </w:tcPr>
          <w:p w:rsidR="00010C59" w:rsidRPr="006F1035" w:rsidRDefault="00010C59" w:rsidP="00010C59">
            <w:pPr>
              <w:pStyle w:val="Numbered"/>
            </w:pPr>
            <w:r w:rsidRPr="006F1035">
              <w:t xml:space="preserve">A process is in place to determine if the system holds or controls information about the requestor. </w:t>
            </w:r>
          </w:p>
          <w:p w:rsidR="00010C59" w:rsidRPr="006F1035" w:rsidRDefault="00010C59" w:rsidP="00010C59">
            <w:pPr>
              <w:pStyle w:val="Numbered"/>
            </w:pPr>
            <w:r w:rsidRPr="006F1035">
              <w:t xml:space="preserve">Requests for access to information are recorded and tracked. </w:t>
            </w:r>
          </w:p>
          <w:p w:rsidR="00010C59" w:rsidRPr="006F1035" w:rsidRDefault="00FE4FDB" w:rsidP="00202A40">
            <w:pPr>
              <w:pStyle w:val="Numbered"/>
            </w:pPr>
            <w:r>
              <w:t>Processes</w:t>
            </w:r>
            <w:r w:rsidR="00010C59" w:rsidRPr="006F1035">
              <w:t xml:space="preserve"> are in place to assist custodians in preparing documents related to an access request for release, including providing fee estimates and any redaction.</w:t>
            </w:r>
          </w:p>
        </w:tc>
        <w:tc>
          <w:tcPr>
            <w:tcW w:w="4876" w:type="dxa"/>
          </w:tcPr>
          <w:p w:rsidR="00010C59" w:rsidRPr="006F1035" w:rsidRDefault="00BE6B50" w:rsidP="00A71747">
            <w:pPr>
              <w:spacing w:after="0"/>
              <w:contextualSpacing/>
            </w:pPr>
            <w:r>
              <w:fldChar w:fldCharType="begin">
                <w:ffData>
                  <w:name w:val="Text4"/>
                  <w:enabled/>
                  <w:calcOnExit w:val="0"/>
                  <w:textInput/>
                </w:ffData>
              </w:fldChar>
            </w:r>
            <w:bookmarkStart w:id="4" w:name="Text4"/>
            <w:r>
              <w:instrText xml:space="preserve"> FORMTEXT </w:instrText>
            </w:r>
            <w:r>
              <w:fldChar w:fldCharType="separate"/>
            </w:r>
            <w:bookmarkStart w:id="5" w:name="_GoBack"/>
            <w:r>
              <w:rPr>
                <w:noProof/>
              </w:rPr>
              <w:t> </w:t>
            </w:r>
            <w:r>
              <w:rPr>
                <w:noProof/>
              </w:rPr>
              <w:t> </w:t>
            </w:r>
            <w:r>
              <w:rPr>
                <w:noProof/>
              </w:rPr>
              <w:t> </w:t>
            </w:r>
            <w:r>
              <w:rPr>
                <w:noProof/>
              </w:rPr>
              <w:t> </w:t>
            </w:r>
            <w:r>
              <w:rPr>
                <w:noProof/>
              </w:rPr>
              <w:t> </w:t>
            </w:r>
            <w:bookmarkEnd w:id="5"/>
            <w:r>
              <w:fldChar w:fldCharType="end"/>
            </w:r>
            <w:bookmarkEnd w:id="4"/>
          </w:p>
        </w:tc>
      </w:tr>
    </w:tbl>
    <w:p w:rsidR="00437ABA" w:rsidRDefault="00437ABA" w:rsidP="00FA7BC1">
      <w:pPr>
        <w:pStyle w:val="Heading1"/>
      </w:pPr>
      <w:bookmarkStart w:id="6" w:name="_Correction_Requests"/>
      <w:bookmarkEnd w:id="6"/>
      <w:r>
        <w:t>Correction Requests</w:t>
      </w:r>
    </w:p>
    <w:tbl>
      <w:tblPr>
        <w:tblW w:w="1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6"/>
        <w:gridCol w:w="4876"/>
        <w:gridCol w:w="4876"/>
      </w:tblGrid>
      <w:tr w:rsidR="00437ABA" w:rsidRPr="006F1035" w:rsidTr="00673109">
        <w:tc>
          <w:tcPr>
            <w:tcW w:w="4876" w:type="dxa"/>
            <w:shd w:val="clear" w:color="auto" w:fill="007684"/>
          </w:tcPr>
          <w:p w:rsidR="00437ABA" w:rsidRPr="00010C59" w:rsidRDefault="00437ABA" w:rsidP="00A71747">
            <w:pPr>
              <w:pStyle w:val="Heading2"/>
              <w:spacing w:after="0"/>
              <w:rPr>
                <w:color w:val="FFFFFF" w:themeColor="background1"/>
              </w:rPr>
            </w:pPr>
            <w:r w:rsidRPr="00010C59">
              <w:rPr>
                <w:color w:val="FFFFFF" w:themeColor="background1"/>
              </w:rPr>
              <w:t xml:space="preserve">HIA Requirements </w:t>
            </w:r>
          </w:p>
        </w:tc>
        <w:tc>
          <w:tcPr>
            <w:tcW w:w="4876" w:type="dxa"/>
            <w:shd w:val="clear" w:color="auto" w:fill="007684"/>
          </w:tcPr>
          <w:p w:rsidR="00437ABA" w:rsidRPr="00010C59" w:rsidRDefault="006573D7" w:rsidP="00A71747">
            <w:pPr>
              <w:spacing w:after="0"/>
              <w:contextualSpacing/>
              <w:rPr>
                <w:b/>
                <w:color w:val="FFFFFF" w:themeColor="background1"/>
              </w:rPr>
            </w:pPr>
            <w:r>
              <w:rPr>
                <w:b/>
                <w:color w:val="FFFFFF" w:themeColor="background1"/>
              </w:rPr>
              <w:t>Sample</w:t>
            </w:r>
            <w:r w:rsidR="00437ABA" w:rsidRPr="00010C59">
              <w:rPr>
                <w:b/>
                <w:color w:val="FFFFFF" w:themeColor="background1"/>
              </w:rPr>
              <w:t xml:space="preserve"> Practices</w:t>
            </w:r>
          </w:p>
        </w:tc>
        <w:tc>
          <w:tcPr>
            <w:tcW w:w="4876" w:type="dxa"/>
            <w:shd w:val="clear" w:color="auto" w:fill="007684"/>
          </w:tcPr>
          <w:p w:rsidR="00437ABA" w:rsidRPr="00010C59" w:rsidRDefault="00437ABA" w:rsidP="00A71747">
            <w:pPr>
              <w:spacing w:after="0"/>
              <w:contextualSpacing/>
              <w:rPr>
                <w:b/>
                <w:color w:val="FFFFFF" w:themeColor="background1"/>
              </w:rPr>
            </w:pPr>
            <w:r>
              <w:rPr>
                <w:b/>
                <w:color w:val="FFFFFF" w:themeColor="background1"/>
              </w:rPr>
              <w:t>Describe How You Meet the Requirement</w:t>
            </w:r>
          </w:p>
        </w:tc>
      </w:tr>
      <w:tr w:rsidR="00437ABA" w:rsidRPr="006F1035" w:rsidTr="00673109">
        <w:tc>
          <w:tcPr>
            <w:tcW w:w="4876" w:type="dxa"/>
          </w:tcPr>
          <w:p w:rsidR="00225ED8" w:rsidRPr="006F1035" w:rsidRDefault="00225ED8" w:rsidP="00225ED8">
            <w:r w:rsidRPr="006F1035">
              <w:t>HIA allows individuals to request corrections or amendments to health information held by the custodian.  Custodians must decide whether to make the requested correction and be able to respond to reviews of their decisions.  HIA imposes duties on custodians to make others aware of any corrections made.  Individuals may opt to submit a statement of disagreement to be attached to the record in question.</w:t>
            </w:r>
          </w:p>
          <w:p w:rsidR="00437ABA" w:rsidRPr="006F1035" w:rsidRDefault="00225ED8" w:rsidP="00225ED8">
            <w:pPr>
              <w:pStyle w:val="Numbered"/>
            </w:pPr>
            <w:r w:rsidRPr="006F1035">
              <w:t>HIA sections 13 and 14</w:t>
            </w:r>
          </w:p>
        </w:tc>
        <w:tc>
          <w:tcPr>
            <w:tcW w:w="4876" w:type="dxa"/>
          </w:tcPr>
          <w:p w:rsidR="00225ED8" w:rsidRPr="00225ED8" w:rsidRDefault="00225ED8" w:rsidP="00225ED8">
            <w:pPr>
              <w:pStyle w:val="Numbered"/>
            </w:pPr>
            <w:r w:rsidRPr="006F1035">
              <w:t>Pr</w:t>
            </w:r>
            <w:r w:rsidRPr="00225ED8">
              <w:t>ocesses are in place to allow individuals to request corrections to their health information.</w:t>
            </w:r>
          </w:p>
          <w:p w:rsidR="00225ED8" w:rsidRPr="00225ED8" w:rsidRDefault="00225ED8" w:rsidP="00225ED8">
            <w:pPr>
              <w:pStyle w:val="Numbered"/>
            </w:pPr>
            <w:r w:rsidRPr="00225ED8">
              <w:t xml:space="preserve">Correction requests are logged and steps taken to address the request. </w:t>
            </w:r>
          </w:p>
          <w:p w:rsidR="00225ED8" w:rsidRPr="00225ED8" w:rsidRDefault="00225ED8" w:rsidP="00225ED8">
            <w:pPr>
              <w:pStyle w:val="Numbered"/>
            </w:pPr>
            <w:r w:rsidRPr="00225ED8">
              <w:t xml:space="preserve">Date and time are recorded when changes to health information are made. </w:t>
            </w:r>
          </w:p>
          <w:p w:rsidR="00225ED8" w:rsidRPr="00225ED8" w:rsidRDefault="00225ED8" w:rsidP="00225ED8">
            <w:pPr>
              <w:pStyle w:val="Numbered"/>
            </w:pPr>
            <w:r w:rsidRPr="00225ED8">
              <w:t xml:space="preserve">A statement of disagreement can be attached to records if required. </w:t>
            </w:r>
          </w:p>
          <w:p w:rsidR="00225ED8" w:rsidRPr="00225ED8" w:rsidRDefault="00225ED8" w:rsidP="00225ED8">
            <w:pPr>
              <w:pStyle w:val="Numbered"/>
            </w:pPr>
            <w:r w:rsidRPr="00225ED8">
              <w:t>A record is kept when a request for correction was received and was not accepted by the custodian (i.e. no change was made).</w:t>
            </w:r>
          </w:p>
          <w:p w:rsidR="00437ABA" w:rsidRPr="006F1035" w:rsidRDefault="00225ED8" w:rsidP="00202A40">
            <w:pPr>
              <w:pStyle w:val="Numbered"/>
            </w:pPr>
            <w:r w:rsidRPr="00225ED8">
              <w:t xml:space="preserve">Corrected or annotated records are permanently retained with the original records along with an explanation </w:t>
            </w:r>
            <w:r w:rsidRPr="006F1035">
              <w:t>of why the record was changed.</w:t>
            </w:r>
          </w:p>
        </w:tc>
        <w:tc>
          <w:tcPr>
            <w:tcW w:w="4876" w:type="dxa"/>
          </w:tcPr>
          <w:p w:rsidR="00437ABA" w:rsidRPr="006F1035" w:rsidRDefault="00BE6B50" w:rsidP="00A71747">
            <w:pPr>
              <w:spacing w:after="0"/>
              <w:contextualSpacing/>
            </w:pPr>
            <w:r>
              <w:fldChar w:fldCharType="begin">
                <w:ffData>
                  <w:name w:val="Text5"/>
                  <w:enabled/>
                  <w:calcOnExit w:val="0"/>
                  <w:textInput/>
                </w:ffData>
              </w:fldChar>
            </w:r>
            <w:bookmarkStart w:id="7"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rsidR="00AE1C28" w:rsidRDefault="00AE1C28">
      <w:pPr>
        <w:spacing w:after="200" w:line="276" w:lineRule="auto"/>
        <w:rPr>
          <w:rFonts w:eastAsiaTheme="majorEastAsia" w:cstheme="majorBidi"/>
          <w:b/>
          <w:bCs/>
          <w:color w:val="81232C"/>
          <w:sz w:val="36"/>
          <w:szCs w:val="28"/>
        </w:rPr>
      </w:pPr>
      <w:r>
        <w:br w:type="page"/>
      </w:r>
    </w:p>
    <w:p w:rsidR="00437ABA" w:rsidRDefault="00437ABA" w:rsidP="00FA7BC1">
      <w:pPr>
        <w:pStyle w:val="Heading1"/>
      </w:pPr>
      <w:r>
        <w:lastRenderedPageBreak/>
        <w:t>Training, Awareness and Sanctions</w:t>
      </w:r>
    </w:p>
    <w:tbl>
      <w:tblPr>
        <w:tblW w:w="1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6"/>
        <w:gridCol w:w="4876"/>
        <w:gridCol w:w="4876"/>
      </w:tblGrid>
      <w:tr w:rsidR="00437ABA" w:rsidRPr="006F1035" w:rsidTr="00673109">
        <w:tc>
          <w:tcPr>
            <w:tcW w:w="4876" w:type="dxa"/>
            <w:shd w:val="clear" w:color="auto" w:fill="007684"/>
          </w:tcPr>
          <w:p w:rsidR="00437ABA" w:rsidRPr="00010C59" w:rsidRDefault="00437ABA" w:rsidP="00A71747">
            <w:pPr>
              <w:pStyle w:val="Heading2"/>
              <w:spacing w:after="0"/>
              <w:rPr>
                <w:color w:val="FFFFFF" w:themeColor="background1"/>
              </w:rPr>
            </w:pPr>
            <w:r w:rsidRPr="00010C59">
              <w:rPr>
                <w:color w:val="FFFFFF" w:themeColor="background1"/>
              </w:rPr>
              <w:t xml:space="preserve">HIA Requirements </w:t>
            </w:r>
          </w:p>
        </w:tc>
        <w:tc>
          <w:tcPr>
            <w:tcW w:w="4876" w:type="dxa"/>
            <w:shd w:val="clear" w:color="auto" w:fill="007684"/>
          </w:tcPr>
          <w:p w:rsidR="00437ABA" w:rsidRPr="00010C59" w:rsidRDefault="006573D7" w:rsidP="00A71747">
            <w:pPr>
              <w:spacing w:after="0"/>
              <w:contextualSpacing/>
              <w:rPr>
                <w:b/>
                <w:color w:val="FFFFFF" w:themeColor="background1"/>
              </w:rPr>
            </w:pPr>
            <w:r>
              <w:rPr>
                <w:b/>
                <w:color w:val="FFFFFF" w:themeColor="background1"/>
              </w:rPr>
              <w:t>Sample</w:t>
            </w:r>
            <w:r w:rsidR="00437ABA" w:rsidRPr="00010C59">
              <w:rPr>
                <w:b/>
                <w:color w:val="FFFFFF" w:themeColor="background1"/>
              </w:rPr>
              <w:t xml:space="preserve"> Practices</w:t>
            </w:r>
          </w:p>
        </w:tc>
        <w:tc>
          <w:tcPr>
            <w:tcW w:w="4876" w:type="dxa"/>
            <w:shd w:val="clear" w:color="auto" w:fill="007684"/>
          </w:tcPr>
          <w:p w:rsidR="00437ABA" w:rsidRPr="00010C59" w:rsidRDefault="00437ABA" w:rsidP="00A71747">
            <w:pPr>
              <w:spacing w:after="0"/>
              <w:contextualSpacing/>
              <w:rPr>
                <w:b/>
                <w:color w:val="FFFFFF" w:themeColor="background1"/>
              </w:rPr>
            </w:pPr>
            <w:r>
              <w:rPr>
                <w:b/>
                <w:color w:val="FFFFFF" w:themeColor="background1"/>
              </w:rPr>
              <w:t>Describe How You Meet the Requirement</w:t>
            </w:r>
          </w:p>
        </w:tc>
      </w:tr>
      <w:tr w:rsidR="00437ABA" w:rsidRPr="006F1035" w:rsidTr="00673109">
        <w:tc>
          <w:tcPr>
            <w:tcW w:w="4876" w:type="dxa"/>
          </w:tcPr>
          <w:p w:rsidR="00225ED8" w:rsidRPr="006F1035" w:rsidRDefault="00225ED8" w:rsidP="00225ED8">
            <w:r w:rsidRPr="006F1035">
              <w:t xml:space="preserve">A custodian must ensure that all of its affiliates are aware of and adhere to the custodian’s administrative, technical and physical safeguards in respect of health information. </w:t>
            </w:r>
          </w:p>
          <w:p w:rsidR="00437ABA" w:rsidRPr="006F1035" w:rsidRDefault="00225ED8" w:rsidP="00225ED8">
            <w:pPr>
              <w:pStyle w:val="Numbered"/>
            </w:pPr>
            <w:r w:rsidRPr="00225ED8">
              <w:rPr>
                <w:i/>
              </w:rPr>
              <w:t>Health Information Regulation</w:t>
            </w:r>
            <w:r w:rsidRPr="006F1035">
              <w:t xml:space="preserve"> section 8</w:t>
            </w:r>
          </w:p>
        </w:tc>
        <w:tc>
          <w:tcPr>
            <w:tcW w:w="4876" w:type="dxa"/>
          </w:tcPr>
          <w:p w:rsidR="00225ED8" w:rsidRPr="006F1035" w:rsidRDefault="00225ED8" w:rsidP="00225ED8">
            <w:pPr>
              <w:pStyle w:val="Numbered"/>
            </w:pPr>
            <w:r w:rsidRPr="006F1035">
              <w:t xml:space="preserve">Regular training is provided to all system users. This training is reviewed and updated to reflect current legislative, regulatory, industry, and entity policy and procedure requirements. </w:t>
            </w:r>
          </w:p>
          <w:p w:rsidR="00437ABA" w:rsidRPr="00202A40" w:rsidRDefault="00225ED8" w:rsidP="00202A40">
            <w:pPr>
              <w:pStyle w:val="Numbered"/>
            </w:pPr>
            <w:r w:rsidRPr="006F1035">
              <w:t>Training is also provided when there are system changes and upgrades.</w:t>
            </w:r>
          </w:p>
        </w:tc>
        <w:tc>
          <w:tcPr>
            <w:tcW w:w="4876" w:type="dxa"/>
          </w:tcPr>
          <w:p w:rsidR="00437ABA" w:rsidRPr="006F1035" w:rsidRDefault="00BE6B50" w:rsidP="00A71747">
            <w:pPr>
              <w:spacing w:after="0"/>
              <w:contextualSpacing/>
            </w:pPr>
            <w:r>
              <w:fldChar w:fldCharType="begin">
                <w:ffData>
                  <w:name w:val="Text6"/>
                  <w:enabled/>
                  <w:calcOnExit w:val="0"/>
                  <w:textInput/>
                </w:ffData>
              </w:fldChar>
            </w:r>
            <w:bookmarkStart w:id="8"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rsidR="00437ABA" w:rsidRDefault="00437ABA" w:rsidP="00FA7BC1">
      <w:pPr>
        <w:pStyle w:val="Heading1"/>
      </w:pPr>
      <w:bookmarkStart w:id="9" w:name="_Collection_of_Health"/>
      <w:bookmarkEnd w:id="9"/>
      <w:r>
        <w:t>Collection</w:t>
      </w:r>
      <w:r w:rsidR="000F2A6C">
        <w:t xml:space="preserve"> of Health Information Limitation</w:t>
      </w:r>
    </w:p>
    <w:tbl>
      <w:tblPr>
        <w:tblW w:w="1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6"/>
        <w:gridCol w:w="4876"/>
        <w:gridCol w:w="4876"/>
      </w:tblGrid>
      <w:tr w:rsidR="00437ABA" w:rsidRPr="006F1035" w:rsidTr="00673109">
        <w:tc>
          <w:tcPr>
            <w:tcW w:w="4876" w:type="dxa"/>
            <w:shd w:val="clear" w:color="auto" w:fill="007684"/>
          </w:tcPr>
          <w:p w:rsidR="00437ABA" w:rsidRPr="00010C59" w:rsidRDefault="00437ABA" w:rsidP="00A71747">
            <w:pPr>
              <w:pStyle w:val="Heading2"/>
              <w:spacing w:after="0"/>
              <w:rPr>
                <w:color w:val="FFFFFF" w:themeColor="background1"/>
              </w:rPr>
            </w:pPr>
            <w:r w:rsidRPr="00010C59">
              <w:rPr>
                <w:color w:val="FFFFFF" w:themeColor="background1"/>
              </w:rPr>
              <w:t xml:space="preserve">HIA Requirements </w:t>
            </w:r>
          </w:p>
        </w:tc>
        <w:tc>
          <w:tcPr>
            <w:tcW w:w="4876" w:type="dxa"/>
            <w:shd w:val="clear" w:color="auto" w:fill="007684"/>
          </w:tcPr>
          <w:p w:rsidR="00437ABA" w:rsidRPr="00010C59" w:rsidRDefault="006573D7" w:rsidP="00A71747">
            <w:pPr>
              <w:spacing w:after="0"/>
              <w:contextualSpacing/>
              <w:rPr>
                <w:b/>
                <w:color w:val="FFFFFF" w:themeColor="background1"/>
              </w:rPr>
            </w:pPr>
            <w:r>
              <w:rPr>
                <w:b/>
                <w:color w:val="FFFFFF" w:themeColor="background1"/>
              </w:rPr>
              <w:t>Sample</w:t>
            </w:r>
            <w:r w:rsidR="00437ABA" w:rsidRPr="00010C59">
              <w:rPr>
                <w:b/>
                <w:color w:val="FFFFFF" w:themeColor="background1"/>
              </w:rPr>
              <w:t xml:space="preserve"> Practices</w:t>
            </w:r>
          </w:p>
        </w:tc>
        <w:tc>
          <w:tcPr>
            <w:tcW w:w="4876" w:type="dxa"/>
            <w:shd w:val="clear" w:color="auto" w:fill="007684"/>
          </w:tcPr>
          <w:p w:rsidR="00437ABA" w:rsidRPr="00010C59" w:rsidRDefault="00437ABA" w:rsidP="00A71747">
            <w:pPr>
              <w:spacing w:after="0"/>
              <w:contextualSpacing/>
              <w:rPr>
                <w:b/>
                <w:color w:val="FFFFFF" w:themeColor="background1"/>
              </w:rPr>
            </w:pPr>
            <w:r>
              <w:rPr>
                <w:b/>
                <w:color w:val="FFFFFF" w:themeColor="background1"/>
              </w:rPr>
              <w:t>Describe How You Meet the Requirement</w:t>
            </w:r>
          </w:p>
        </w:tc>
      </w:tr>
      <w:tr w:rsidR="00437ABA" w:rsidRPr="006F1035" w:rsidTr="00673109">
        <w:tc>
          <w:tcPr>
            <w:tcW w:w="4876" w:type="dxa"/>
          </w:tcPr>
          <w:p w:rsidR="00225ED8" w:rsidRDefault="00225ED8" w:rsidP="00225ED8">
            <w:r>
              <w:t>Only e</w:t>
            </w:r>
            <w:r w:rsidRPr="0038663C">
              <w:t>ssential health</w:t>
            </w:r>
            <w:r w:rsidRPr="006C6838">
              <w:t xml:space="preserve"> </w:t>
            </w:r>
            <w:r w:rsidRPr="006F1035">
              <w:t xml:space="preserve">information must </w:t>
            </w:r>
            <w:r>
              <w:t xml:space="preserve">be collected </w:t>
            </w:r>
            <w:r w:rsidRPr="006F1035">
              <w:t>whether under HIA or other relevant legislation.</w:t>
            </w:r>
          </w:p>
          <w:p w:rsidR="00437ABA" w:rsidRPr="006F1035" w:rsidRDefault="00225ED8" w:rsidP="00A925BC">
            <w:pPr>
              <w:pStyle w:val="Numbered"/>
            </w:pPr>
            <w:r w:rsidRPr="00700422">
              <w:t>HIA</w:t>
            </w:r>
            <w:r>
              <w:t xml:space="preserve"> part 3</w:t>
            </w:r>
          </w:p>
        </w:tc>
        <w:tc>
          <w:tcPr>
            <w:tcW w:w="4876" w:type="dxa"/>
          </w:tcPr>
          <w:p w:rsidR="00225ED8" w:rsidRPr="006F1035" w:rsidRDefault="00225ED8" w:rsidP="00225ED8">
            <w:pPr>
              <w:pStyle w:val="Numbered"/>
            </w:pPr>
            <w:r w:rsidRPr="006F1035">
              <w:t>The system is designed or configured to collect only the health information essential to meet the intended purpose.</w:t>
            </w:r>
          </w:p>
          <w:p w:rsidR="00437ABA" w:rsidRPr="006F1035" w:rsidRDefault="00225ED8" w:rsidP="00A71747">
            <w:pPr>
              <w:pStyle w:val="Numbered"/>
            </w:pPr>
            <w:r>
              <w:t>Fields, drop down menus, etc. limit collection of health information to what is essential.</w:t>
            </w:r>
          </w:p>
        </w:tc>
        <w:tc>
          <w:tcPr>
            <w:tcW w:w="4876" w:type="dxa"/>
          </w:tcPr>
          <w:p w:rsidR="00437ABA" w:rsidRPr="006F1035" w:rsidRDefault="00BE6B50" w:rsidP="00A71747">
            <w:pPr>
              <w:spacing w:after="0"/>
              <w:contextualSpacing/>
            </w:pPr>
            <w:r>
              <w:fldChar w:fldCharType="begin">
                <w:ffData>
                  <w:name w:val="Text7"/>
                  <w:enabled/>
                  <w:calcOnExit w:val="0"/>
                  <w:textInput/>
                </w:ffData>
              </w:fldChar>
            </w:r>
            <w:bookmarkStart w:id="10"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rsidR="000F2A6C" w:rsidRDefault="000F2A6C" w:rsidP="00FA7BC1">
      <w:pPr>
        <w:pStyle w:val="Heading1"/>
      </w:pPr>
      <w:r>
        <w:t>Use of Health Information Limitation</w:t>
      </w:r>
    </w:p>
    <w:tbl>
      <w:tblPr>
        <w:tblW w:w="1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6"/>
        <w:gridCol w:w="4876"/>
        <w:gridCol w:w="4876"/>
      </w:tblGrid>
      <w:tr w:rsidR="00437ABA" w:rsidRPr="006F1035" w:rsidTr="00673109">
        <w:tc>
          <w:tcPr>
            <w:tcW w:w="4876" w:type="dxa"/>
            <w:shd w:val="clear" w:color="auto" w:fill="007684"/>
          </w:tcPr>
          <w:p w:rsidR="00437ABA" w:rsidRPr="00010C59" w:rsidRDefault="00437ABA" w:rsidP="00A71747">
            <w:pPr>
              <w:pStyle w:val="Heading2"/>
              <w:spacing w:after="0"/>
              <w:rPr>
                <w:color w:val="FFFFFF" w:themeColor="background1"/>
              </w:rPr>
            </w:pPr>
            <w:r w:rsidRPr="00010C59">
              <w:rPr>
                <w:color w:val="FFFFFF" w:themeColor="background1"/>
              </w:rPr>
              <w:t xml:space="preserve">HIA Requirements </w:t>
            </w:r>
          </w:p>
        </w:tc>
        <w:tc>
          <w:tcPr>
            <w:tcW w:w="4876" w:type="dxa"/>
            <w:shd w:val="clear" w:color="auto" w:fill="007684"/>
          </w:tcPr>
          <w:p w:rsidR="00437ABA" w:rsidRPr="00010C59" w:rsidRDefault="006573D7" w:rsidP="00A71747">
            <w:pPr>
              <w:spacing w:after="0"/>
              <w:contextualSpacing/>
              <w:rPr>
                <w:b/>
                <w:color w:val="FFFFFF" w:themeColor="background1"/>
              </w:rPr>
            </w:pPr>
            <w:r>
              <w:rPr>
                <w:b/>
                <w:color w:val="FFFFFF" w:themeColor="background1"/>
              </w:rPr>
              <w:t>Sample</w:t>
            </w:r>
            <w:r w:rsidR="00437ABA" w:rsidRPr="00010C59">
              <w:rPr>
                <w:b/>
                <w:color w:val="FFFFFF" w:themeColor="background1"/>
              </w:rPr>
              <w:t xml:space="preserve"> Practices</w:t>
            </w:r>
          </w:p>
        </w:tc>
        <w:tc>
          <w:tcPr>
            <w:tcW w:w="4876" w:type="dxa"/>
            <w:shd w:val="clear" w:color="auto" w:fill="007684"/>
          </w:tcPr>
          <w:p w:rsidR="00437ABA" w:rsidRPr="00010C59" w:rsidRDefault="00437ABA" w:rsidP="00A71747">
            <w:pPr>
              <w:spacing w:after="0"/>
              <w:contextualSpacing/>
              <w:rPr>
                <w:b/>
                <w:color w:val="FFFFFF" w:themeColor="background1"/>
              </w:rPr>
            </w:pPr>
            <w:r>
              <w:rPr>
                <w:b/>
                <w:color w:val="FFFFFF" w:themeColor="background1"/>
              </w:rPr>
              <w:t>Describe How You Meet the Requirement</w:t>
            </w:r>
          </w:p>
        </w:tc>
      </w:tr>
      <w:tr w:rsidR="00437ABA" w:rsidRPr="006F1035" w:rsidTr="00673109">
        <w:tc>
          <w:tcPr>
            <w:tcW w:w="4876" w:type="dxa"/>
          </w:tcPr>
          <w:p w:rsidR="00225ED8" w:rsidRDefault="00225ED8" w:rsidP="00225ED8">
            <w:r w:rsidRPr="006F1035">
              <w:t>The concept of use includes appropriate and controlled access to and sharing of health</w:t>
            </w:r>
            <w:r>
              <w:t xml:space="preserve"> i</w:t>
            </w:r>
            <w:r w:rsidRPr="006F1035">
              <w:t xml:space="preserve">nformation within a custodian’s organization. </w:t>
            </w:r>
          </w:p>
          <w:p w:rsidR="00437ABA" w:rsidRPr="006F1035" w:rsidRDefault="00A925BC" w:rsidP="00225ED8">
            <w:pPr>
              <w:pStyle w:val="Numbered"/>
            </w:pPr>
            <w:r>
              <w:t>HIA</w:t>
            </w:r>
            <w:r w:rsidR="00225ED8">
              <w:t xml:space="preserve"> part 4</w:t>
            </w:r>
          </w:p>
        </w:tc>
        <w:tc>
          <w:tcPr>
            <w:tcW w:w="4876" w:type="dxa"/>
          </w:tcPr>
          <w:p w:rsidR="00437ABA" w:rsidRPr="00A925BC" w:rsidRDefault="00225ED8" w:rsidP="00202A40">
            <w:pPr>
              <w:pStyle w:val="Numbered"/>
            </w:pPr>
            <w:r w:rsidRPr="006F1035">
              <w:t xml:space="preserve">The system is </w:t>
            </w:r>
            <w:r>
              <w:t xml:space="preserve">designed or </w:t>
            </w:r>
            <w:r w:rsidRPr="006F1035">
              <w:t xml:space="preserve">configured to only allow access to the least amount of information </w:t>
            </w:r>
            <w:r>
              <w:t xml:space="preserve">essential to meet the intended purpose </w:t>
            </w:r>
            <w:r w:rsidRPr="006F1035">
              <w:t>and such access sh</w:t>
            </w:r>
            <w:r w:rsidR="00A925BC">
              <w:t>ould be based on a need-to-know</w:t>
            </w:r>
            <w:r w:rsidRPr="006F1035">
              <w:t xml:space="preserve"> </w:t>
            </w:r>
            <w:r w:rsidR="00A925BC">
              <w:t>(</w:t>
            </w:r>
            <w:r w:rsidRPr="006F1035">
              <w:t xml:space="preserve">e.g. it </w:t>
            </w:r>
            <w:r>
              <w:t>could</w:t>
            </w:r>
            <w:r w:rsidRPr="006F1035">
              <w:t xml:space="preserve"> implement role-based access control</w:t>
            </w:r>
            <w:r w:rsidR="003406B7">
              <w:t>, Personal Health Number</w:t>
            </w:r>
            <w:r>
              <w:t>-based access, white lists, black lists, etc</w:t>
            </w:r>
            <w:r w:rsidRPr="006F1035">
              <w:t>.</w:t>
            </w:r>
            <w:r w:rsidR="00A925BC">
              <w:t>)</w:t>
            </w:r>
          </w:p>
        </w:tc>
        <w:tc>
          <w:tcPr>
            <w:tcW w:w="4876" w:type="dxa"/>
          </w:tcPr>
          <w:p w:rsidR="00437ABA" w:rsidRPr="006F1035" w:rsidRDefault="00BE6B50" w:rsidP="00A71747">
            <w:pPr>
              <w:spacing w:after="0"/>
              <w:contextualSpacing/>
            </w:pPr>
            <w:r>
              <w:fldChar w:fldCharType="begin">
                <w:ffData>
                  <w:name w:val="Text8"/>
                  <w:enabled/>
                  <w:calcOnExit w:val="0"/>
                  <w:textInput/>
                </w:ffData>
              </w:fldChar>
            </w:r>
            <w:bookmarkStart w:id="11"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rsidR="006A64EA" w:rsidRDefault="006A64EA" w:rsidP="00A44A6D"/>
    <w:p w:rsidR="006A64EA" w:rsidRDefault="006A64EA">
      <w:pPr>
        <w:spacing w:after="200" w:line="276" w:lineRule="auto"/>
        <w:rPr>
          <w:rFonts w:eastAsiaTheme="majorEastAsia" w:cstheme="majorBidi"/>
          <w:b/>
          <w:bCs/>
          <w:color w:val="81232C"/>
          <w:sz w:val="36"/>
          <w:szCs w:val="28"/>
        </w:rPr>
      </w:pPr>
      <w:r>
        <w:br w:type="page"/>
      </w:r>
    </w:p>
    <w:p w:rsidR="000F2A6C" w:rsidRDefault="000F2A6C" w:rsidP="00FA7BC1">
      <w:pPr>
        <w:pStyle w:val="Heading1"/>
      </w:pPr>
      <w:r>
        <w:lastRenderedPageBreak/>
        <w:t>Disclosures of Health Information and Expressed Wishes</w:t>
      </w:r>
    </w:p>
    <w:tbl>
      <w:tblPr>
        <w:tblW w:w="1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6"/>
        <w:gridCol w:w="4876"/>
        <w:gridCol w:w="4876"/>
      </w:tblGrid>
      <w:tr w:rsidR="000F2A6C" w:rsidRPr="006F1035" w:rsidTr="00673109">
        <w:tc>
          <w:tcPr>
            <w:tcW w:w="4876" w:type="dxa"/>
            <w:shd w:val="clear" w:color="auto" w:fill="007684"/>
          </w:tcPr>
          <w:p w:rsidR="000F2A6C" w:rsidRPr="00010C59" w:rsidRDefault="000F2A6C" w:rsidP="00A71747">
            <w:pPr>
              <w:pStyle w:val="Heading2"/>
              <w:spacing w:after="0"/>
              <w:rPr>
                <w:color w:val="FFFFFF" w:themeColor="background1"/>
              </w:rPr>
            </w:pPr>
            <w:r w:rsidRPr="00010C59">
              <w:rPr>
                <w:color w:val="FFFFFF" w:themeColor="background1"/>
              </w:rPr>
              <w:t xml:space="preserve">HIA Requirements </w:t>
            </w:r>
          </w:p>
        </w:tc>
        <w:tc>
          <w:tcPr>
            <w:tcW w:w="4876" w:type="dxa"/>
            <w:shd w:val="clear" w:color="auto" w:fill="007684"/>
          </w:tcPr>
          <w:p w:rsidR="000F2A6C" w:rsidRPr="00010C59" w:rsidRDefault="006573D7" w:rsidP="00A71747">
            <w:pPr>
              <w:spacing w:after="0"/>
              <w:contextualSpacing/>
              <w:rPr>
                <w:b/>
                <w:color w:val="FFFFFF" w:themeColor="background1"/>
              </w:rPr>
            </w:pPr>
            <w:r>
              <w:rPr>
                <w:b/>
                <w:color w:val="FFFFFF" w:themeColor="background1"/>
              </w:rPr>
              <w:t>Sample</w:t>
            </w:r>
            <w:r w:rsidR="000F2A6C" w:rsidRPr="00010C59">
              <w:rPr>
                <w:b/>
                <w:color w:val="FFFFFF" w:themeColor="background1"/>
              </w:rPr>
              <w:t xml:space="preserve"> Practices</w:t>
            </w:r>
          </w:p>
        </w:tc>
        <w:tc>
          <w:tcPr>
            <w:tcW w:w="4876" w:type="dxa"/>
            <w:shd w:val="clear" w:color="auto" w:fill="007684"/>
          </w:tcPr>
          <w:p w:rsidR="000F2A6C" w:rsidRPr="00010C59" w:rsidRDefault="000F2A6C" w:rsidP="00A71747">
            <w:pPr>
              <w:spacing w:after="0"/>
              <w:contextualSpacing/>
              <w:rPr>
                <w:b/>
                <w:color w:val="FFFFFF" w:themeColor="background1"/>
              </w:rPr>
            </w:pPr>
            <w:r>
              <w:rPr>
                <w:b/>
                <w:color w:val="FFFFFF" w:themeColor="background1"/>
              </w:rPr>
              <w:t>Describe How You Meet the Requirement</w:t>
            </w:r>
          </w:p>
        </w:tc>
      </w:tr>
      <w:tr w:rsidR="000F2A6C" w:rsidRPr="006F1035" w:rsidTr="00673109">
        <w:tc>
          <w:tcPr>
            <w:tcW w:w="4876" w:type="dxa"/>
          </w:tcPr>
          <w:p w:rsidR="00225ED8" w:rsidRPr="006F1035" w:rsidRDefault="00225ED8" w:rsidP="00225ED8">
            <w:r w:rsidRPr="006F1035">
              <w:t>An expressed wish is described in the HIA as follows:</w:t>
            </w:r>
          </w:p>
          <w:p w:rsidR="00225ED8" w:rsidRPr="00A925BC" w:rsidRDefault="00225ED8" w:rsidP="00A925BC">
            <w:pPr>
              <w:ind w:left="357"/>
              <w:rPr>
                <w:sz w:val="20"/>
              </w:rPr>
            </w:pPr>
            <w:r w:rsidRPr="00A925BC">
              <w:rPr>
                <w:sz w:val="20"/>
              </w:rPr>
              <w:t xml:space="preserve">In deciding how much health information to disclose, a custodian must consider as an important factor any expressed wishes of the individual who is the subject of the information relating to disclosure of the information, together with any other factors the custodian considers relevant. </w:t>
            </w:r>
          </w:p>
          <w:p w:rsidR="00225ED8" w:rsidRDefault="00225ED8" w:rsidP="00225ED8">
            <w:pPr>
              <w:pStyle w:val="Numbered"/>
              <w:spacing w:after="240"/>
            </w:pPr>
            <w:r>
              <w:t>HIA s</w:t>
            </w:r>
            <w:r w:rsidRPr="0038663C">
              <w:t>ection 58(2)</w:t>
            </w:r>
          </w:p>
          <w:p w:rsidR="00225ED8" w:rsidRPr="006F1035" w:rsidRDefault="00225ED8" w:rsidP="00225ED8">
            <w:r>
              <w:t>S</w:t>
            </w:r>
            <w:r w:rsidRPr="006F1035">
              <w:t xml:space="preserve">imilar obligations </w:t>
            </w:r>
            <w:r>
              <w:t xml:space="preserve">are placed </w:t>
            </w:r>
            <w:r w:rsidRPr="006F1035">
              <w:t>on authorized custodians prior to making informat</w:t>
            </w:r>
            <w:r w:rsidR="00202A40">
              <w:t>i</w:t>
            </w:r>
            <w:r w:rsidR="003406B7">
              <w:t xml:space="preserve">on accessible in the Alberta EHR (i.e. Alberta </w:t>
            </w:r>
            <w:r w:rsidRPr="006F1035">
              <w:t>Netcare</w:t>
            </w:r>
            <w:r w:rsidR="003406B7">
              <w:t>)</w:t>
            </w:r>
            <w:r w:rsidRPr="006F1035">
              <w:t xml:space="preserve">.  </w:t>
            </w:r>
          </w:p>
          <w:p w:rsidR="000F2A6C" w:rsidRPr="006F1035" w:rsidRDefault="00225ED8" w:rsidP="00225ED8">
            <w:pPr>
              <w:pStyle w:val="Numbered"/>
            </w:pPr>
            <w:r w:rsidRPr="007A7CB6">
              <w:t xml:space="preserve">HIA </w:t>
            </w:r>
            <w:r>
              <w:t>s</w:t>
            </w:r>
            <w:r w:rsidRPr="007A7CB6">
              <w:t>ection</w:t>
            </w:r>
            <w:r w:rsidR="00F31337">
              <w:t xml:space="preserve"> 56.4</w:t>
            </w:r>
          </w:p>
        </w:tc>
        <w:tc>
          <w:tcPr>
            <w:tcW w:w="4876" w:type="dxa"/>
          </w:tcPr>
          <w:p w:rsidR="00225ED8" w:rsidRDefault="00225ED8" w:rsidP="00225ED8">
            <w:pPr>
              <w:pStyle w:val="Numbered"/>
            </w:pPr>
            <w:r w:rsidRPr="006F1035">
              <w:t xml:space="preserve">The system allows for reduced access, view or disclosure capability based on the request of an individual. </w:t>
            </w:r>
          </w:p>
          <w:p w:rsidR="00225ED8" w:rsidRPr="006F1035" w:rsidRDefault="00225ED8" w:rsidP="00225ED8">
            <w:pPr>
              <w:pStyle w:val="Numbered"/>
            </w:pPr>
            <w:r w:rsidRPr="006F1035">
              <w:t>The system implements technical controls to ensure the consideration of expressed wishes made by a patient to limit disclosure.</w:t>
            </w:r>
          </w:p>
          <w:p w:rsidR="00225ED8" w:rsidRDefault="00225ED8" w:rsidP="00225ED8">
            <w:pPr>
              <w:pStyle w:val="Numbered"/>
            </w:pPr>
            <w:r>
              <w:t>The s</w:t>
            </w:r>
            <w:r w:rsidRPr="006F1035">
              <w:t xml:space="preserve">ystem logs </w:t>
            </w:r>
            <w:r>
              <w:t xml:space="preserve">an </w:t>
            </w:r>
            <w:r w:rsidRPr="006F1035">
              <w:t>individual</w:t>
            </w:r>
            <w:r>
              <w:t>’s consent</w:t>
            </w:r>
            <w:r w:rsidRPr="006F1035">
              <w:t xml:space="preserve"> to disclose or </w:t>
            </w:r>
            <w:r>
              <w:t xml:space="preserve">expressed wish to </w:t>
            </w:r>
            <w:r w:rsidR="00A925BC">
              <w:t xml:space="preserve">limit the disclosure of his or </w:t>
            </w:r>
            <w:r w:rsidRPr="006F1035">
              <w:t>her health information.</w:t>
            </w:r>
          </w:p>
          <w:p w:rsidR="00225ED8" w:rsidRPr="006F1035" w:rsidRDefault="00225ED8" w:rsidP="00225ED8">
            <w:pPr>
              <w:pStyle w:val="Numbered"/>
            </w:pPr>
            <w:r w:rsidRPr="006F1035">
              <w:t>The system tracks the purpose for the disclosure and what information was disclosed and to whom.</w:t>
            </w:r>
          </w:p>
          <w:p w:rsidR="000F2A6C" w:rsidRPr="00A925BC" w:rsidRDefault="00225ED8" w:rsidP="00202A40">
            <w:pPr>
              <w:pStyle w:val="Numbered"/>
            </w:pPr>
            <w:r>
              <w:t>The s</w:t>
            </w:r>
            <w:r w:rsidRPr="006F1035">
              <w:t>ystem retains disclosure information</w:t>
            </w:r>
            <w:r>
              <w:t xml:space="preserve"> required under section 41</w:t>
            </w:r>
            <w:r w:rsidR="00F31337">
              <w:t>(2)</w:t>
            </w:r>
            <w:r w:rsidRPr="006F1035">
              <w:t xml:space="preserve"> for 10 years.</w:t>
            </w:r>
          </w:p>
        </w:tc>
        <w:tc>
          <w:tcPr>
            <w:tcW w:w="4876" w:type="dxa"/>
          </w:tcPr>
          <w:p w:rsidR="000F2A6C" w:rsidRPr="006F1035" w:rsidRDefault="00BE6B50" w:rsidP="00A71747">
            <w:pPr>
              <w:spacing w:after="0"/>
              <w:contextualSpacing/>
            </w:pPr>
            <w:r>
              <w:fldChar w:fldCharType="begin">
                <w:ffData>
                  <w:name w:val="Text9"/>
                  <w:enabled/>
                  <w:calcOnExit w:val="0"/>
                  <w:textInput/>
                </w:ffData>
              </w:fldChar>
            </w:r>
            <w:bookmarkStart w:id="12"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rsidR="006A64EA" w:rsidRDefault="006A64EA" w:rsidP="00A44A6D"/>
    <w:p w:rsidR="006A64EA" w:rsidRDefault="006A64EA">
      <w:pPr>
        <w:spacing w:after="200" w:line="276" w:lineRule="auto"/>
        <w:rPr>
          <w:rFonts w:eastAsiaTheme="majorEastAsia" w:cstheme="majorBidi"/>
          <w:b/>
          <w:bCs/>
          <w:color w:val="81232C"/>
          <w:sz w:val="36"/>
          <w:szCs w:val="28"/>
        </w:rPr>
      </w:pPr>
      <w:r>
        <w:br w:type="page"/>
      </w:r>
    </w:p>
    <w:p w:rsidR="000F2A6C" w:rsidRDefault="000F2A6C" w:rsidP="00FA7BC1">
      <w:pPr>
        <w:pStyle w:val="Heading1"/>
      </w:pPr>
      <w:r>
        <w:lastRenderedPageBreak/>
        <w:t>Maintaining Disclosure Information</w:t>
      </w:r>
    </w:p>
    <w:tbl>
      <w:tblPr>
        <w:tblW w:w="1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6"/>
        <w:gridCol w:w="4876"/>
        <w:gridCol w:w="4876"/>
      </w:tblGrid>
      <w:tr w:rsidR="000F2A6C" w:rsidRPr="006F1035" w:rsidTr="00673109">
        <w:tc>
          <w:tcPr>
            <w:tcW w:w="4876" w:type="dxa"/>
            <w:shd w:val="clear" w:color="auto" w:fill="007684"/>
          </w:tcPr>
          <w:p w:rsidR="000F2A6C" w:rsidRPr="00010C59" w:rsidRDefault="000F2A6C" w:rsidP="00A71747">
            <w:pPr>
              <w:pStyle w:val="Heading2"/>
              <w:spacing w:after="0"/>
              <w:rPr>
                <w:color w:val="FFFFFF" w:themeColor="background1"/>
              </w:rPr>
            </w:pPr>
            <w:r w:rsidRPr="00010C59">
              <w:rPr>
                <w:color w:val="FFFFFF" w:themeColor="background1"/>
              </w:rPr>
              <w:t xml:space="preserve">HIA Requirements </w:t>
            </w:r>
          </w:p>
        </w:tc>
        <w:tc>
          <w:tcPr>
            <w:tcW w:w="4876" w:type="dxa"/>
            <w:shd w:val="clear" w:color="auto" w:fill="007684"/>
          </w:tcPr>
          <w:p w:rsidR="000F2A6C" w:rsidRPr="00010C59" w:rsidRDefault="006573D7" w:rsidP="00A71747">
            <w:pPr>
              <w:spacing w:after="0"/>
              <w:contextualSpacing/>
              <w:rPr>
                <w:b/>
                <w:color w:val="FFFFFF" w:themeColor="background1"/>
              </w:rPr>
            </w:pPr>
            <w:r>
              <w:rPr>
                <w:b/>
                <w:color w:val="FFFFFF" w:themeColor="background1"/>
              </w:rPr>
              <w:t>Sample</w:t>
            </w:r>
            <w:r w:rsidR="000F2A6C" w:rsidRPr="00010C59">
              <w:rPr>
                <w:b/>
                <w:color w:val="FFFFFF" w:themeColor="background1"/>
              </w:rPr>
              <w:t xml:space="preserve"> Practices</w:t>
            </w:r>
          </w:p>
        </w:tc>
        <w:tc>
          <w:tcPr>
            <w:tcW w:w="4876" w:type="dxa"/>
            <w:shd w:val="clear" w:color="auto" w:fill="007684"/>
          </w:tcPr>
          <w:p w:rsidR="000F2A6C" w:rsidRPr="00010C59" w:rsidRDefault="000F2A6C" w:rsidP="00A71747">
            <w:pPr>
              <w:spacing w:after="0"/>
              <w:contextualSpacing/>
              <w:rPr>
                <w:b/>
                <w:color w:val="FFFFFF" w:themeColor="background1"/>
              </w:rPr>
            </w:pPr>
            <w:r>
              <w:rPr>
                <w:b/>
                <w:color w:val="FFFFFF" w:themeColor="background1"/>
              </w:rPr>
              <w:t>Describe How You Meet the Requirement</w:t>
            </w:r>
          </w:p>
        </w:tc>
      </w:tr>
      <w:tr w:rsidR="000F2A6C" w:rsidRPr="006F1035" w:rsidTr="00673109">
        <w:tc>
          <w:tcPr>
            <w:tcW w:w="4876" w:type="dxa"/>
          </w:tcPr>
          <w:p w:rsidR="00225ED8" w:rsidRDefault="00225ED8" w:rsidP="006A64EA">
            <w:pPr>
              <w:spacing w:after="120"/>
            </w:pPr>
            <w:r w:rsidRPr="006F1035">
              <w:t>HIA requires a custodian who is disclosing identifiable health information to make a notation of the disclosure. This notation must include the name of the person to whom the custodian discloses the information, the date and the purpose of the disclosure, and a description of the information disclosed.  Section 41(1.1) allows this information to be recorded electronically.</w:t>
            </w:r>
          </w:p>
          <w:p w:rsidR="00225ED8" w:rsidRDefault="00225ED8" w:rsidP="006A64EA">
            <w:pPr>
              <w:pStyle w:val="Numbered"/>
              <w:spacing w:after="120"/>
            </w:pPr>
            <w:r>
              <w:t>HIA s</w:t>
            </w:r>
            <w:r w:rsidRPr="00700422">
              <w:t>ection 41</w:t>
            </w:r>
          </w:p>
          <w:p w:rsidR="00225ED8" w:rsidRDefault="00225ED8" w:rsidP="00225ED8">
            <w:r w:rsidRPr="006F1035">
              <w:t xml:space="preserve">This disclosure information must be retained for 10 years.  </w:t>
            </w:r>
          </w:p>
          <w:p w:rsidR="00225ED8" w:rsidRDefault="00225ED8" w:rsidP="00E72FD3">
            <w:pPr>
              <w:pStyle w:val="Numbered"/>
              <w:spacing w:after="240"/>
            </w:pPr>
            <w:r>
              <w:t>HIA s</w:t>
            </w:r>
            <w:r w:rsidRPr="006F1035">
              <w:t>ection 41(2)</w:t>
            </w:r>
          </w:p>
          <w:p w:rsidR="00225ED8" w:rsidRDefault="00225ED8" w:rsidP="00225ED8">
            <w:r>
              <w:t>A custodian that discloses health information must make a reasonable effort to ensure that the person to whom the disclosure is made is the person intended and authorized to receive the information.</w:t>
            </w:r>
          </w:p>
          <w:p w:rsidR="000F2A6C" w:rsidRPr="006F1035" w:rsidRDefault="00225ED8" w:rsidP="00225ED8">
            <w:pPr>
              <w:pStyle w:val="Numbered"/>
            </w:pPr>
            <w:r>
              <w:t>HIA section 45</w:t>
            </w:r>
          </w:p>
        </w:tc>
        <w:tc>
          <w:tcPr>
            <w:tcW w:w="4876" w:type="dxa"/>
          </w:tcPr>
          <w:p w:rsidR="00E72FD3" w:rsidRDefault="00E72FD3" w:rsidP="00E72FD3">
            <w:pPr>
              <w:pStyle w:val="Numbered"/>
            </w:pPr>
            <w:r w:rsidRPr="006F1035">
              <w:t xml:space="preserve">The system allows for reduced access, view or disclosure capability based on the request of an individual. </w:t>
            </w:r>
          </w:p>
          <w:p w:rsidR="00E72FD3" w:rsidRPr="006F1035" w:rsidRDefault="00E72FD3" w:rsidP="00E72FD3">
            <w:pPr>
              <w:pStyle w:val="Numbered"/>
            </w:pPr>
            <w:r w:rsidRPr="006F1035">
              <w:t>The system implements technical controls to ensure the consideration of expressed wishes made by a patient to limit disclosure.</w:t>
            </w:r>
          </w:p>
          <w:p w:rsidR="00E72FD3" w:rsidRDefault="00E72FD3" w:rsidP="00E72FD3">
            <w:pPr>
              <w:pStyle w:val="Numbered"/>
            </w:pPr>
            <w:r>
              <w:t>The s</w:t>
            </w:r>
            <w:r w:rsidRPr="006F1035">
              <w:t xml:space="preserve">ystem logs </w:t>
            </w:r>
            <w:r>
              <w:t xml:space="preserve">an </w:t>
            </w:r>
            <w:r w:rsidRPr="006F1035">
              <w:t>individual</w:t>
            </w:r>
            <w:r>
              <w:t>’s consent</w:t>
            </w:r>
            <w:r w:rsidRPr="006F1035">
              <w:t xml:space="preserve"> to disclose or </w:t>
            </w:r>
            <w:r>
              <w:t xml:space="preserve">expressed wish to </w:t>
            </w:r>
            <w:r w:rsidRPr="006F1035">
              <w:t>limit the disclosure of his/her health information.</w:t>
            </w:r>
          </w:p>
          <w:p w:rsidR="00E72FD3" w:rsidRPr="006F1035" w:rsidRDefault="00E72FD3" w:rsidP="00E72FD3">
            <w:pPr>
              <w:pStyle w:val="Numbered"/>
            </w:pPr>
            <w:r w:rsidRPr="006F1035">
              <w:t>The system tracks the purpose for the disclosure and what information was disclosed and to whom.</w:t>
            </w:r>
          </w:p>
          <w:p w:rsidR="000F2A6C" w:rsidRPr="007E28FD" w:rsidRDefault="00E72FD3" w:rsidP="00202A40">
            <w:pPr>
              <w:pStyle w:val="Numbered"/>
            </w:pPr>
            <w:r>
              <w:t>The s</w:t>
            </w:r>
            <w:r w:rsidRPr="006F1035">
              <w:t>ystem retains disclosure information</w:t>
            </w:r>
            <w:r>
              <w:t xml:space="preserve"> required under section 41</w:t>
            </w:r>
            <w:r w:rsidR="00F31337">
              <w:t>(2)</w:t>
            </w:r>
            <w:r w:rsidRPr="006F1035">
              <w:t xml:space="preserve"> for 10 years.</w:t>
            </w:r>
          </w:p>
        </w:tc>
        <w:tc>
          <w:tcPr>
            <w:tcW w:w="4876" w:type="dxa"/>
          </w:tcPr>
          <w:p w:rsidR="000F2A6C" w:rsidRPr="006F1035" w:rsidRDefault="00BE6B50" w:rsidP="00A71747">
            <w:pPr>
              <w:spacing w:after="0"/>
              <w:contextualSpacing/>
            </w:pPr>
            <w:r>
              <w:fldChar w:fldCharType="begin">
                <w:ffData>
                  <w:name w:val="Text10"/>
                  <w:enabled/>
                  <w:calcOnExit w:val="0"/>
                  <w:textInput/>
                </w:ffData>
              </w:fldChar>
            </w:r>
            <w:bookmarkStart w:id="13"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rsidR="006A64EA" w:rsidRDefault="006A64EA" w:rsidP="00A44A6D"/>
    <w:p w:rsidR="006A64EA" w:rsidRDefault="006A64EA">
      <w:pPr>
        <w:spacing w:after="200" w:line="276" w:lineRule="auto"/>
        <w:rPr>
          <w:rFonts w:eastAsiaTheme="majorEastAsia" w:cstheme="majorBidi"/>
          <w:b/>
          <w:bCs/>
          <w:color w:val="81232C"/>
          <w:sz w:val="36"/>
          <w:szCs w:val="28"/>
        </w:rPr>
      </w:pPr>
      <w:r>
        <w:br w:type="page"/>
      </w:r>
    </w:p>
    <w:p w:rsidR="000F2A6C" w:rsidRDefault="000F2A6C" w:rsidP="00FA7BC1">
      <w:pPr>
        <w:pStyle w:val="Heading1"/>
      </w:pPr>
      <w:r>
        <w:lastRenderedPageBreak/>
        <w:t>Research</w:t>
      </w:r>
    </w:p>
    <w:tbl>
      <w:tblPr>
        <w:tblW w:w="1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6"/>
        <w:gridCol w:w="4876"/>
        <w:gridCol w:w="4876"/>
      </w:tblGrid>
      <w:tr w:rsidR="000F2A6C" w:rsidRPr="006F1035" w:rsidTr="00673109">
        <w:tc>
          <w:tcPr>
            <w:tcW w:w="4876" w:type="dxa"/>
            <w:shd w:val="clear" w:color="auto" w:fill="007684"/>
          </w:tcPr>
          <w:p w:rsidR="000F2A6C" w:rsidRPr="00010C59" w:rsidRDefault="000F2A6C" w:rsidP="00A71747">
            <w:pPr>
              <w:pStyle w:val="Heading2"/>
              <w:spacing w:after="0"/>
              <w:rPr>
                <w:color w:val="FFFFFF" w:themeColor="background1"/>
              </w:rPr>
            </w:pPr>
            <w:r w:rsidRPr="00010C59">
              <w:rPr>
                <w:color w:val="FFFFFF" w:themeColor="background1"/>
              </w:rPr>
              <w:t xml:space="preserve">HIA Requirements </w:t>
            </w:r>
          </w:p>
        </w:tc>
        <w:tc>
          <w:tcPr>
            <w:tcW w:w="4876" w:type="dxa"/>
            <w:shd w:val="clear" w:color="auto" w:fill="007684"/>
          </w:tcPr>
          <w:p w:rsidR="000F2A6C" w:rsidRPr="00010C59" w:rsidRDefault="006573D7" w:rsidP="00A71747">
            <w:pPr>
              <w:spacing w:after="0"/>
              <w:contextualSpacing/>
              <w:rPr>
                <w:b/>
                <w:color w:val="FFFFFF" w:themeColor="background1"/>
              </w:rPr>
            </w:pPr>
            <w:r>
              <w:rPr>
                <w:b/>
                <w:color w:val="FFFFFF" w:themeColor="background1"/>
              </w:rPr>
              <w:t>Sample</w:t>
            </w:r>
            <w:r w:rsidR="000F2A6C" w:rsidRPr="00010C59">
              <w:rPr>
                <w:b/>
                <w:color w:val="FFFFFF" w:themeColor="background1"/>
              </w:rPr>
              <w:t xml:space="preserve"> Practices</w:t>
            </w:r>
          </w:p>
        </w:tc>
        <w:tc>
          <w:tcPr>
            <w:tcW w:w="4876" w:type="dxa"/>
            <w:shd w:val="clear" w:color="auto" w:fill="007684"/>
          </w:tcPr>
          <w:p w:rsidR="000F2A6C" w:rsidRPr="00010C59" w:rsidRDefault="000F2A6C" w:rsidP="00A71747">
            <w:pPr>
              <w:spacing w:after="0"/>
              <w:contextualSpacing/>
              <w:rPr>
                <w:b/>
                <w:color w:val="FFFFFF" w:themeColor="background1"/>
              </w:rPr>
            </w:pPr>
            <w:r>
              <w:rPr>
                <w:b/>
                <w:color w:val="FFFFFF" w:themeColor="background1"/>
              </w:rPr>
              <w:t>Describe How You Meet the Requirement</w:t>
            </w:r>
          </w:p>
        </w:tc>
      </w:tr>
      <w:tr w:rsidR="000F2A6C" w:rsidRPr="006F1035" w:rsidTr="00673109">
        <w:tc>
          <w:tcPr>
            <w:tcW w:w="4876" w:type="dxa"/>
          </w:tcPr>
          <w:p w:rsidR="00E72FD3" w:rsidRDefault="00E72FD3" w:rsidP="00E72FD3">
            <w:r w:rsidRPr="006F1035">
              <w:t>Custodians may disclose health information to res</w:t>
            </w:r>
            <w:r w:rsidR="00A925BC">
              <w:t xml:space="preserve">earchers in compliance with </w:t>
            </w:r>
            <w:r w:rsidRPr="006F1035">
              <w:t xml:space="preserve">HIA.  </w:t>
            </w:r>
          </w:p>
          <w:p w:rsidR="000F2A6C" w:rsidRPr="006F1035" w:rsidRDefault="00E72FD3" w:rsidP="00E72FD3">
            <w:pPr>
              <w:pStyle w:val="Numbered"/>
            </w:pPr>
            <w:r>
              <w:t>HIA, part 5 division 3</w:t>
            </w:r>
          </w:p>
        </w:tc>
        <w:tc>
          <w:tcPr>
            <w:tcW w:w="4876" w:type="dxa"/>
          </w:tcPr>
          <w:p w:rsidR="00E72FD3" w:rsidRPr="006F1035" w:rsidRDefault="00E72FD3" w:rsidP="00E72FD3">
            <w:pPr>
              <w:pStyle w:val="Numbered"/>
            </w:pPr>
            <w:r w:rsidRPr="006F1035">
              <w:t>The system allows health information to be extracted and rendered non-identifying for research purposes (where required).</w:t>
            </w:r>
          </w:p>
          <w:p w:rsidR="00E72FD3" w:rsidRPr="006F1035" w:rsidRDefault="00E72FD3" w:rsidP="00E72FD3">
            <w:pPr>
              <w:pStyle w:val="Numbered"/>
            </w:pPr>
            <w:r w:rsidRPr="006F1035">
              <w:t>Requests from researchers to disclose health information are tracked.</w:t>
            </w:r>
          </w:p>
          <w:p w:rsidR="00E72FD3" w:rsidRPr="006F1035" w:rsidRDefault="00E72FD3" w:rsidP="00E72FD3">
            <w:pPr>
              <w:pStyle w:val="Numbered"/>
            </w:pPr>
            <w:r w:rsidRPr="006F1035">
              <w:t>Consents from research subjects are recorded.</w:t>
            </w:r>
          </w:p>
          <w:p w:rsidR="000F2A6C" w:rsidRPr="006F1035" w:rsidRDefault="00E72FD3" w:rsidP="00202A40">
            <w:pPr>
              <w:pStyle w:val="Numbered"/>
            </w:pPr>
            <w:r w:rsidRPr="006F1035">
              <w:t>Controls are in place to ensure agreements are properly executed before health information is disclosed to researchers.</w:t>
            </w:r>
          </w:p>
        </w:tc>
        <w:tc>
          <w:tcPr>
            <w:tcW w:w="4876" w:type="dxa"/>
          </w:tcPr>
          <w:p w:rsidR="000F2A6C" w:rsidRPr="006F1035" w:rsidRDefault="00BE6B50" w:rsidP="00A71747">
            <w:pPr>
              <w:spacing w:after="0"/>
              <w:contextualSpacing/>
            </w:pPr>
            <w:r>
              <w:fldChar w:fldCharType="begin">
                <w:ffData>
                  <w:name w:val="Text11"/>
                  <w:enabled/>
                  <w:calcOnExit w:val="0"/>
                  <w:textInput/>
                </w:ffData>
              </w:fldChar>
            </w:r>
            <w:bookmarkStart w:id="14"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bl>
    <w:p w:rsidR="000F2A6C" w:rsidRPr="000F2A6C" w:rsidRDefault="000F2A6C" w:rsidP="00FA7BC1">
      <w:pPr>
        <w:pStyle w:val="Heading1"/>
      </w:pPr>
      <w:r>
        <w:t>Information Managers</w:t>
      </w:r>
      <w:r w:rsidR="006A64EA">
        <w:t xml:space="preserve"> </w:t>
      </w:r>
      <w:r>
        <w:t>(i.e. third party service providers, vendors, etc.)</w:t>
      </w:r>
    </w:p>
    <w:tbl>
      <w:tblPr>
        <w:tblW w:w="1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6"/>
        <w:gridCol w:w="4876"/>
        <w:gridCol w:w="4876"/>
      </w:tblGrid>
      <w:tr w:rsidR="000F2A6C" w:rsidRPr="006F1035" w:rsidTr="00673109">
        <w:tc>
          <w:tcPr>
            <w:tcW w:w="4876" w:type="dxa"/>
            <w:shd w:val="clear" w:color="auto" w:fill="007684"/>
          </w:tcPr>
          <w:p w:rsidR="000F2A6C" w:rsidRPr="00010C59" w:rsidRDefault="000F2A6C" w:rsidP="0041724D">
            <w:pPr>
              <w:pStyle w:val="Heading2"/>
              <w:tabs>
                <w:tab w:val="left" w:pos="2304"/>
              </w:tabs>
              <w:spacing w:after="0"/>
              <w:rPr>
                <w:color w:val="FFFFFF" w:themeColor="background1"/>
              </w:rPr>
            </w:pPr>
            <w:r w:rsidRPr="00010C59">
              <w:rPr>
                <w:color w:val="FFFFFF" w:themeColor="background1"/>
              </w:rPr>
              <w:t xml:space="preserve">HIA Requirements </w:t>
            </w:r>
            <w:r w:rsidR="0041724D">
              <w:rPr>
                <w:color w:val="FFFFFF" w:themeColor="background1"/>
              </w:rPr>
              <w:tab/>
            </w:r>
          </w:p>
        </w:tc>
        <w:tc>
          <w:tcPr>
            <w:tcW w:w="4876" w:type="dxa"/>
            <w:shd w:val="clear" w:color="auto" w:fill="007684"/>
          </w:tcPr>
          <w:p w:rsidR="000F2A6C" w:rsidRPr="00010C59" w:rsidRDefault="006573D7" w:rsidP="00A71747">
            <w:pPr>
              <w:spacing w:after="0"/>
              <w:contextualSpacing/>
              <w:rPr>
                <w:b/>
                <w:color w:val="FFFFFF" w:themeColor="background1"/>
              </w:rPr>
            </w:pPr>
            <w:r>
              <w:rPr>
                <w:b/>
                <w:color w:val="FFFFFF" w:themeColor="background1"/>
              </w:rPr>
              <w:t>Sample</w:t>
            </w:r>
            <w:r w:rsidR="000F2A6C" w:rsidRPr="00010C59">
              <w:rPr>
                <w:b/>
                <w:color w:val="FFFFFF" w:themeColor="background1"/>
              </w:rPr>
              <w:t xml:space="preserve"> Practices</w:t>
            </w:r>
          </w:p>
        </w:tc>
        <w:tc>
          <w:tcPr>
            <w:tcW w:w="4876" w:type="dxa"/>
            <w:shd w:val="clear" w:color="auto" w:fill="007684"/>
          </w:tcPr>
          <w:p w:rsidR="000F2A6C" w:rsidRPr="00010C59" w:rsidRDefault="000F2A6C" w:rsidP="00A71747">
            <w:pPr>
              <w:spacing w:after="0"/>
              <w:contextualSpacing/>
              <w:rPr>
                <w:b/>
                <w:color w:val="FFFFFF" w:themeColor="background1"/>
              </w:rPr>
            </w:pPr>
            <w:r>
              <w:rPr>
                <w:b/>
                <w:color w:val="FFFFFF" w:themeColor="background1"/>
              </w:rPr>
              <w:t>Describe How You Meet the Requirement</w:t>
            </w:r>
          </w:p>
        </w:tc>
      </w:tr>
      <w:tr w:rsidR="00E72FD3" w:rsidRPr="006F1035" w:rsidTr="00673109">
        <w:tc>
          <w:tcPr>
            <w:tcW w:w="4876" w:type="dxa"/>
          </w:tcPr>
          <w:p w:rsidR="00E72FD3" w:rsidRDefault="00E72FD3" w:rsidP="00A71747">
            <w:r w:rsidRPr="006F1035">
              <w:t xml:space="preserve">Custodians are required to enter into an </w:t>
            </w:r>
            <w:r w:rsidRPr="006A64EA">
              <w:rPr>
                <w:b/>
              </w:rPr>
              <w:t>information manager agreement</w:t>
            </w:r>
            <w:r w:rsidRPr="006A64EA">
              <w:t xml:space="preserve"> </w:t>
            </w:r>
            <w:r w:rsidRPr="006F1035">
              <w:t>prior to disclosing health information to an information manager. Informatio</w:t>
            </w:r>
            <w:r w:rsidR="00A925BC">
              <w:t xml:space="preserve">n managers must comply with </w:t>
            </w:r>
            <w:r w:rsidRPr="006F1035">
              <w:t xml:space="preserve">HIA and its regulations as well as the agreement </w:t>
            </w:r>
            <w:r>
              <w:t>they enter into with the custodian.</w:t>
            </w:r>
            <w:r w:rsidR="006A64EA">
              <w:t xml:space="preserve"> </w:t>
            </w:r>
            <w:r w:rsidRPr="00126A95">
              <w:t>An information manager agreement must</w:t>
            </w:r>
            <w:r>
              <w:t>:</w:t>
            </w:r>
            <w:r w:rsidRPr="00126A95">
              <w:t xml:space="preserve"> </w:t>
            </w:r>
          </w:p>
          <w:p w:rsidR="00E72FD3" w:rsidRPr="00126A95" w:rsidRDefault="00A925BC" w:rsidP="00A925BC">
            <w:pPr>
              <w:pStyle w:val="ListParagraph"/>
              <w:numPr>
                <w:ilvl w:val="0"/>
                <w:numId w:val="34"/>
              </w:numPr>
              <w:spacing w:after="0"/>
              <w:ind w:left="717"/>
              <w:contextualSpacing/>
              <w:rPr>
                <w:lang w:val="en-CA"/>
              </w:rPr>
            </w:pPr>
            <w:r>
              <w:rPr>
                <w:lang w:val="en-CA"/>
              </w:rPr>
              <w:t>I</w:t>
            </w:r>
            <w:r w:rsidR="00E72FD3" w:rsidRPr="00126A95">
              <w:rPr>
                <w:lang w:val="en-CA"/>
              </w:rPr>
              <w:t>dentify the objectives of the agreement and the pr</w:t>
            </w:r>
            <w:r>
              <w:rPr>
                <w:lang w:val="en-CA"/>
              </w:rPr>
              <w:t>inciples to guide the agreement.</w:t>
            </w:r>
          </w:p>
          <w:p w:rsidR="00E72FD3" w:rsidRPr="00126A95" w:rsidRDefault="00A925BC" w:rsidP="00A925BC">
            <w:pPr>
              <w:pStyle w:val="ListParagraph"/>
              <w:numPr>
                <w:ilvl w:val="0"/>
                <w:numId w:val="32"/>
              </w:numPr>
              <w:spacing w:after="0"/>
              <w:ind w:left="717"/>
              <w:contextualSpacing/>
              <w:rPr>
                <w:lang w:val="en-CA"/>
              </w:rPr>
            </w:pPr>
            <w:r>
              <w:rPr>
                <w:lang w:val="en-CA"/>
              </w:rPr>
              <w:t>I</w:t>
            </w:r>
            <w:r w:rsidR="00E72FD3" w:rsidRPr="00126A95">
              <w:rPr>
                <w:lang w:val="en-CA"/>
              </w:rPr>
              <w:t>ndicate whether or not the information manager is permitted to collect health information from any other custodian or from a person and, if so, describe that health information and the purpose for which it may be</w:t>
            </w:r>
            <w:r w:rsidR="00E72FD3">
              <w:rPr>
                <w:lang w:val="en-CA"/>
              </w:rPr>
              <w:t xml:space="preserve"> </w:t>
            </w:r>
            <w:r>
              <w:rPr>
                <w:lang w:val="en-CA"/>
              </w:rPr>
              <w:t>collected.</w:t>
            </w:r>
          </w:p>
          <w:p w:rsidR="00E72FD3" w:rsidRPr="00126A95" w:rsidRDefault="00A925BC" w:rsidP="00A925BC">
            <w:pPr>
              <w:pStyle w:val="ListParagraph"/>
              <w:numPr>
                <w:ilvl w:val="0"/>
                <w:numId w:val="32"/>
              </w:numPr>
              <w:spacing w:after="0"/>
              <w:ind w:left="717"/>
              <w:contextualSpacing/>
              <w:rPr>
                <w:lang w:val="en-CA"/>
              </w:rPr>
            </w:pPr>
            <w:r>
              <w:rPr>
                <w:lang w:val="en-CA"/>
              </w:rPr>
              <w:t>I</w:t>
            </w:r>
            <w:r w:rsidR="00E72FD3" w:rsidRPr="00126A95">
              <w:rPr>
                <w:lang w:val="en-CA"/>
              </w:rPr>
              <w:t>ndicate whether or not the information manager may use health information provided to it by the custodian and, if so, describe that health information and the purpose for</w:t>
            </w:r>
            <w:r w:rsidR="00E72FD3">
              <w:rPr>
                <w:lang w:val="en-CA"/>
              </w:rPr>
              <w:t xml:space="preserve"> </w:t>
            </w:r>
            <w:r>
              <w:rPr>
                <w:lang w:val="en-CA"/>
              </w:rPr>
              <w:t>which it may be used.</w:t>
            </w:r>
          </w:p>
          <w:p w:rsidR="00E72FD3" w:rsidRDefault="00A925BC" w:rsidP="00A925BC">
            <w:pPr>
              <w:pStyle w:val="ListParagraph"/>
              <w:numPr>
                <w:ilvl w:val="0"/>
                <w:numId w:val="32"/>
              </w:numPr>
              <w:spacing w:after="0"/>
              <w:ind w:left="717"/>
              <w:contextualSpacing/>
              <w:rPr>
                <w:lang w:val="en-CA"/>
              </w:rPr>
            </w:pPr>
            <w:r>
              <w:rPr>
                <w:lang w:val="en-CA"/>
              </w:rPr>
              <w:t>I</w:t>
            </w:r>
            <w:r w:rsidR="00E72FD3" w:rsidRPr="00636073">
              <w:rPr>
                <w:lang w:val="en-CA"/>
              </w:rPr>
              <w:t xml:space="preserve">ndicate whether or not the information </w:t>
            </w:r>
            <w:r w:rsidR="00E72FD3" w:rsidRPr="00636073">
              <w:rPr>
                <w:lang w:val="en-CA"/>
              </w:rPr>
              <w:lastRenderedPageBreak/>
              <w:t>manager may disclose health information provided to i</w:t>
            </w:r>
            <w:r w:rsidR="00E72FD3" w:rsidRPr="00300FD5">
              <w:rPr>
                <w:lang w:val="en-CA"/>
              </w:rPr>
              <w:t>t by the custodian and, if so, describe that health information and the</w:t>
            </w:r>
            <w:r w:rsidR="00E72FD3">
              <w:rPr>
                <w:lang w:val="en-CA"/>
              </w:rPr>
              <w:t xml:space="preserve"> </w:t>
            </w:r>
            <w:r w:rsidR="00E72FD3" w:rsidRPr="00636073">
              <w:rPr>
                <w:lang w:val="en-CA"/>
              </w:rPr>
              <w:t>purpos</w:t>
            </w:r>
            <w:r>
              <w:rPr>
                <w:lang w:val="en-CA"/>
              </w:rPr>
              <w:t>e for which it may be disclosed.</w:t>
            </w:r>
          </w:p>
          <w:p w:rsidR="00E72FD3" w:rsidRPr="00300FD5" w:rsidRDefault="00A925BC" w:rsidP="00A925BC">
            <w:pPr>
              <w:pStyle w:val="ListParagraph"/>
              <w:numPr>
                <w:ilvl w:val="0"/>
                <w:numId w:val="32"/>
              </w:numPr>
              <w:spacing w:after="0"/>
              <w:ind w:left="717"/>
              <w:contextualSpacing/>
              <w:rPr>
                <w:lang w:val="en-CA"/>
              </w:rPr>
            </w:pPr>
            <w:r>
              <w:rPr>
                <w:lang w:val="en-CA"/>
              </w:rPr>
              <w:t>D</w:t>
            </w:r>
            <w:r w:rsidR="00E72FD3" w:rsidRPr="00300FD5">
              <w:rPr>
                <w:lang w:val="en-CA"/>
              </w:rPr>
              <w:t>escribe the process for the information manager to respond to access requests under Part 2 of the Act or, if the information manager is not to respond to access requests, describe the process for referring access requests for health info</w:t>
            </w:r>
            <w:r>
              <w:rPr>
                <w:lang w:val="en-CA"/>
              </w:rPr>
              <w:t>rmation to the custodian itself.</w:t>
            </w:r>
          </w:p>
          <w:p w:rsidR="00E72FD3" w:rsidRPr="00A925BC" w:rsidRDefault="00A925BC" w:rsidP="00A925BC">
            <w:pPr>
              <w:pStyle w:val="ListParagraph"/>
              <w:numPr>
                <w:ilvl w:val="0"/>
                <w:numId w:val="33"/>
              </w:numPr>
              <w:spacing w:after="240"/>
              <w:ind w:left="717"/>
              <w:contextualSpacing/>
              <w:rPr>
                <w:lang w:val="en-CA"/>
              </w:rPr>
            </w:pPr>
            <w:r>
              <w:rPr>
                <w:lang w:val="en-CA"/>
              </w:rPr>
              <w:t>D</w:t>
            </w:r>
            <w:r w:rsidR="00E72FD3" w:rsidRPr="00126A95">
              <w:rPr>
                <w:lang w:val="en-CA"/>
              </w:rPr>
              <w:t>escribe the process for the information manager to respond to requests to amend or correct health information under Part 2 of the Act or, if the information manager is not to respond to requests to amend or correct health information, describe the process for referring access</w:t>
            </w:r>
            <w:r w:rsidR="00E72FD3">
              <w:rPr>
                <w:lang w:val="en-CA"/>
              </w:rPr>
              <w:t xml:space="preserve"> </w:t>
            </w:r>
            <w:r w:rsidR="00E72FD3" w:rsidRPr="00126A95">
              <w:rPr>
                <w:lang w:val="en-CA"/>
              </w:rPr>
              <w:t>requests to amend or correct health information to the</w:t>
            </w:r>
            <w:r>
              <w:rPr>
                <w:lang w:val="en-CA"/>
              </w:rPr>
              <w:t xml:space="preserve"> </w:t>
            </w:r>
            <w:r>
              <w:t>custodian itself.</w:t>
            </w:r>
          </w:p>
          <w:p w:rsidR="00A925BC" w:rsidRDefault="00A925BC" w:rsidP="00A925BC">
            <w:pPr>
              <w:pStyle w:val="Numbered"/>
            </w:pPr>
            <w:r>
              <w:t>HIA section 66</w:t>
            </w:r>
          </w:p>
          <w:p w:rsidR="00E72FD3" w:rsidRDefault="00E72FD3" w:rsidP="00E72FD3">
            <w:pPr>
              <w:pStyle w:val="Numbered"/>
              <w:spacing w:after="240"/>
            </w:pPr>
            <w:r w:rsidRPr="00ED60B5">
              <w:rPr>
                <w:i/>
              </w:rPr>
              <w:t>Health Information Regulation</w:t>
            </w:r>
            <w:r>
              <w:t xml:space="preserve"> </w:t>
            </w:r>
            <w:r w:rsidRPr="00700422">
              <w:t>section</w:t>
            </w:r>
            <w:r>
              <w:t>s</w:t>
            </w:r>
            <w:r w:rsidRPr="00700422">
              <w:t xml:space="preserve"> 7.2 and 8(4) </w:t>
            </w:r>
            <w:r>
              <w:t xml:space="preserve"> </w:t>
            </w:r>
          </w:p>
          <w:p w:rsidR="00E72FD3" w:rsidRDefault="00E72FD3" w:rsidP="00A71747">
            <w:r>
              <w:t>Custodians must protect the confidentiality of health information that is to be stored in a jurisdiction outside of Alberta.</w:t>
            </w:r>
          </w:p>
          <w:p w:rsidR="00E72FD3" w:rsidRPr="006F1035" w:rsidRDefault="00E72FD3" w:rsidP="00A71747">
            <w:pPr>
              <w:pStyle w:val="Numbered"/>
            </w:pPr>
            <w:r>
              <w:t>HIA section</w:t>
            </w:r>
            <w:r w:rsidRPr="00700422">
              <w:t xml:space="preserve"> 60(1)(b)</w:t>
            </w:r>
          </w:p>
        </w:tc>
        <w:tc>
          <w:tcPr>
            <w:tcW w:w="4876" w:type="dxa"/>
          </w:tcPr>
          <w:p w:rsidR="00E72FD3" w:rsidRPr="006F1035" w:rsidRDefault="00E72FD3" w:rsidP="00E72FD3">
            <w:pPr>
              <w:pStyle w:val="Numbered"/>
            </w:pPr>
            <w:r>
              <w:lastRenderedPageBreak/>
              <w:t>The s</w:t>
            </w:r>
            <w:r w:rsidRPr="006F1035">
              <w:t xml:space="preserve">ystem has safeguards in place to prevent </w:t>
            </w:r>
            <w:r>
              <w:t xml:space="preserve">the information manager from collecting, using or disclosing </w:t>
            </w:r>
            <w:r w:rsidRPr="006F1035">
              <w:t xml:space="preserve">health information </w:t>
            </w:r>
            <w:r>
              <w:t>beyond what is authorized in the information manager agreement</w:t>
            </w:r>
            <w:r w:rsidRPr="006F1035">
              <w:t>.</w:t>
            </w:r>
          </w:p>
          <w:p w:rsidR="00E72FD3" w:rsidRPr="006F1035" w:rsidRDefault="00E72FD3" w:rsidP="00202A40">
            <w:pPr>
              <w:pStyle w:val="Numbered"/>
              <w:spacing w:after="240"/>
            </w:pPr>
            <w:r w:rsidRPr="00CA1A00">
              <w:t xml:space="preserve">The information manager agreement is compliant with section 7.2 and section 8.4 (if applicable) of the </w:t>
            </w:r>
            <w:r w:rsidRPr="00ED60B5">
              <w:rPr>
                <w:i/>
              </w:rPr>
              <w:t>Health Information Regulation</w:t>
            </w:r>
            <w:r w:rsidRPr="00CA1A00">
              <w:t>.</w:t>
            </w:r>
          </w:p>
        </w:tc>
        <w:tc>
          <w:tcPr>
            <w:tcW w:w="4876" w:type="dxa"/>
          </w:tcPr>
          <w:p w:rsidR="00E72FD3" w:rsidRPr="006F1035" w:rsidRDefault="00BE6B50" w:rsidP="00A71747">
            <w:pPr>
              <w:spacing w:after="0"/>
              <w:contextualSpacing/>
            </w:pPr>
            <w:r>
              <w:fldChar w:fldCharType="begin">
                <w:ffData>
                  <w:name w:val="Text12"/>
                  <w:enabled/>
                  <w:calcOnExit w:val="0"/>
                  <w:textInput/>
                </w:ffData>
              </w:fldChar>
            </w:r>
            <w:bookmarkStart w:id="15"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rsidR="006A64EA" w:rsidRDefault="006A64EA" w:rsidP="00A44A6D"/>
    <w:p w:rsidR="006A64EA" w:rsidRDefault="006A64EA">
      <w:pPr>
        <w:spacing w:after="200" w:line="276" w:lineRule="auto"/>
        <w:rPr>
          <w:rFonts w:eastAsiaTheme="majorEastAsia" w:cstheme="majorBidi"/>
          <w:b/>
          <w:bCs/>
          <w:color w:val="81232C"/>
          <w:sz w:val="36"/>
          <w:szCs w:val="28"/>
        </w:rPr>
      </w:pPr>
      <w:r>
        <w:br w:type="page"/>
      </w:r>
    </w:p>
    <w:p w:rsidR="000F2A6C" w:rsidRPr="000F2A6C" w:rsidRDefault="000F2A6C" w:rsidP="00FA7BC1">
      <w:pPr>
        <w:pStyle w:val="Heading1"/>
        <w:rPr>
          <w:sz w:val="22"/>
        </w:rPr>
      </w:pPr>
      <w:bookmarkStart w:id="16" w:name="_Privacy_Impact_Assessments"/>
      <w:bookmarkEnd w:id="16"/>
      <w:r>
        <w:lastRenderedPageBreak/>
        <w:t>Privacy Impact Assessments</w:t>
      </w:r>
    </w:p>
    <w:tbl>
      <w:tblPr>
        <w:tblW w:w="1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6"/>
        <w:gridCol w:w="4876"/>
        <w:gridCol w:w="4876"/>
      </w:tblGrid>
      <w:tr w:rsidR="000F2A6C" w:rsidRPr="006F1035" w:rsidTr="00673109">
        <w:tc>
          <w:tcPr>
            <w:tcW w:w="4876" w:type="dxa"/>
            <w:shd w:val="clear" w:color="auto" w:fill="007684"/>
          </w:tcPr>
          <w:p w:rsidR="000F2A6C" w:rsidRPr="00010C59" w:rsidRDefault="000F2A6C" w:rsidP="00A71747">
            <w:pPr>
              <w:pStyle w:val="Heading2"/>
              <w:spacing w:after="0"/>
              <w:rPr>
                <w:color w:val="FFFFFF" w:themeColor="background1"/>
              </w:rPr>
            </w:pPr>
            <w:r w:rsidRPr="00010C59">
              <w:rPr>
                <w:color w:val="FFFFFF" w:themeColor="background1"/>
              </w:rPr>
              <w:t xml:space="preserve">HIA Requirements </w:t>
            </w:r>
          </w:p>
        </w:tc>
        <w:tc>
          <w:tcPr>
            <w:tcW w:w="4876" w:type="dxa"/>
            <w:shd w:val="clear" w:color="auto" w:fill="007684"/>
          </w:tcPr>
          <w:p w:rsidR="000F2A6C" w:rsidRPr="00010C59" w:rsidRDefault="006573D7" w:rsidP="00A71747">
            <w:pPr>
              <w:spacing w:after="0"/>
              <w:contextualSpacing/>
              <w:rPr>
                <w:b/>
                <w:color w:val="FFFFFF" w:themeColor="background1"/>
              </w:rPr>
            </w:pPr>
            <w:r>
              <w:rPr>
                <w:b/>
                <w:color w:val="FFFFFF" w:themeColor="background1"/>
              </w:rPr>
              <w:t>Sample</w:t>
            </w:r>
            <w:r w:rsidR="000F2A6C" w:rsidRPr="00010C59">
              <w:rPr>
                <w:b/>
                <w:color w:val="FFFFFF" w:themeColor="background1"/>
              </w:rPr>
              <w:t xml:space="preserve"> Practices</w:t>
            </w:r>
          </w:p>
        </w:tc>
        <w:tc>
          <w:tcPr>
            <w:tcW w:w="4876" w:type="dxa"/>
            <w:shd w:val="clear" w:color="auto" w:fill="007684"/>
          </w:tcPr>
          <w:p w:rsidR="000F2A6C" w:rsidRPr="00010C59" w:rsidRDefault="000F2A6C" w:rsidP="00A71747">
            <w:pPr>
              <w:spacing w:after="0"/>
              <w:contextualSpacing/>
              <w:rPr>
                <w:b/>
                <w:color w:val="FFFFFF" w:themeColor="background1"/>
              </w:rPr>
            </w:pPr>
            <w:r>
              <w:rPr>
                <w:b/>
                <w:color w:val="FFFFFF" w:themeColor="background1"/>
              </w:rPr>
              <w:t>Describe How You Meet the Requirement</w:t>
            </w:r>
          </w:p>
        </w:tc>
      </w:tr>
      <w:tr w:rsidR="000F2A6C" w:rsidRPr="006F1035" w:rsidTr="00673109">
        <w:tc>
          <w:tcPr>
            <w:tcW w:w="4876" w:type="dxa"/>
          </w:tcPr>
          <w:p w:rsidR="00E72FD3" w:rsidRPr="006F1035" w:rsidRDefault="00E72FD3" w:rsidP="00E72FD3">
            <w:r w:rsidRPr="006F1035">
              <w:t xml:space="preserve">Custodians must prepare </w:t>
            </w:r>
            <w:r w:rsidR="00A925BC">
              <w:t>PIA</w:t>
            </w:r>
            <w:r w:rsidRPr="006F1035">
              <w:t>s to describe how proposed practices, including the implementation of a new system, relating to the collection, use or disclosure of health information may affect the privacy of the individual who is the subject of the information.</w:t>
            </w:r>
          </w:p>
          <w:p w:rsidR="00E72FD3" w:rsidRDefault="00E72FD3" w:rsidP="00E72FD3">
            <w:r w:rsidRPr="006F1035">
              <w:t xml:space="preserve">A </w:t>
            </w:r>
            <w:r w:rsidR="00A925BC">
              <w:t>PIA</w:t>
            </w:r>
            <w:r w:rsidRPr="006F1035">
              <w:t xml:space="preserve"> identifies potential risks to health information as a result of data matching or being collected, use</w:t>
            </w:r>
            <w:r w:rsidR="00A925BC">
              <w:t>d</w:t>
            </w:r>
            <w:r w:rsidRPr="006F1035">
              <w:t xml:space="preserve"> or di</w:t>
            </w:r>
            <w:r w:rsidR="00FE4FDB">
              <w:t>sclosed in an electronic health</w:t>
            </w:r>
            <w:r w:rsidRPr="006F1035">
              <w:t xml:space="preserve"> record system. It also provides mitigation plans used by the custodian to prevent the loss, destruction, loss of integrity to or unauthorized use, modification or disclosure of the health informatio</w:t>
            </w:r>
            <w:r>
              <w:t>n that is stored in the system.</w:t>
            </w:r>
          </w:p>
          <w:p w:rsidR="00FA7BC1" w:rsidRPr="006F1035" w:rsidRDefault="00FA7BC1" w:rsidP="00E72FD3">
            <w:r>
              <w:t>Custodians must periodically assess their safeguards that protect the confidentiality and security of health information.</w:t>
            </w:r>
          </w:p>
          <w:p w:rsidR="000F2A6C" w:rsidRDefault="00E72FD3" w:rsidP="00E72FD3">
            <w:pPr>
              <w:pStyle w:val="Numbered"/>
            </w:pPr>
            <w:r>
              <w:t>HIA s</w:t>
            </w:r>
            <w:r w:rsidRPr="00700422">
              <w:t>ection</w:t>
            </w:r>
            <w:r>
              <w:t>s</w:t>
            </w:r>
            <w:r w:rsidRPr="00700422">
              <w:t xml:space="preserve"> 64, 70 and 71</w:t>
            </w:r>
          </w:p>
          <w:p w:rsidR="003406B7" w:rsidRPr="006F1035" w:rsidRDefault="003406B7" w:rsidP="00E72FD3">
            <w:pPr>
              <w:pStyle w:val="Numbered"/>
            </w:pPr>
            <w:r>
              <w:rPr>
                <w:i/>
              </w:rPr>
              <w:t>Health Information Regulation</w:t>
            </w:r>
            <w:r>
              <w:t xml:space="preserve"> section 8</w:t>
            </w:r>
          </w:p>
        </w:tc>
        <w:tc>
          <w:tcPr>
            <w:tcW w:w="4876" w:type="dxa"/>
          </w:tcPr>
          <w:p w:rsidR="00E72FD3" w:rsidRDefault="00E72FD3" w:rsidP="00E72FD3">
            <w:pPr>
              <w:pStyle w:val="Numbered"/>
            </w:pPr>
            <w:r>
              <w:t>A PIA is submitted to the Commissioner for review and comment with enough lead time to consider comments and make system changes if necessary.</w:t>
            </w:r>
          </w:p>
          <w:p w:rsidR="000F2A6C" w:rsidRPr="006F1035" w:rsidRDefault="00E72FD3" w:rsidP="00202A40">
            <w:pPr>
              <w:pStyle w:val="Numbered"/>
              <w:spacing w:after="240"/>
            </w:pPr>
            <w:r>
              <w:t>The actual</w:t>
            </w:r>
            <w:r w:rsidRPr="006F1035">
              <w:t xml:space="preserve"> implementation of </w:t>
            </w:r>
            <w:r>
              <w:t xml:space="preserve">a </w:t>
            </w:r>
            <w:r w:rsidRPr="006F1035">
              <w:t xml:space="preserve">system is evaluated against assertions made in the custodian’s PIA to ensure ongoing compliance.  Evaluation should be conducted at regular, </w:t>
            </w:r>
            <w:r w:rsidR="00A925BC">
              <w:br/>
            </w:r>
            <w:r w:rsidRPr="006F1035">
              <w:t>pre-defined intervals.</w:t>
            </w:r>
          </w:p>
        </w:tc>
        <w:tc>
          <w:tcPr>
            <w:tcW w:w="4876" w:type="dxa"/>
          </w:tcPr>
          <w:p w:rsidR="000F2A6C" w:rsidRPr="006F1035" w:rsidRDefault="00BE6B50" w:rsidP="00A71747">
            <w:pPr>
              <w:spacing w:after="0"/>
              <w:contextualSpacing/>
            </w:pPr>
            <w:r>
              <w:fldChar w:fldCharType="begin">
                <w:ffData>
                  <w:name w:val="Text13"/>
                  <w:enabled/>
                  <w:calcOnExit w:val="0"/>
                  <w:textInput/>
                </w:ffData>
              </w:fldChar>
            </w:r>
            <w:bookmarkStart w:id="17"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bl>
    <w:p w:rsidR="00FA7BC1" w:rsidRDefault="00FA7BC1" w:rsidP="00FA7BC1">
      <w:pPr>
        <w:pStyle w:val="Heading1"/>
      </w:pPr>
      <w:bookmarkStart w:id="18" w:name="_Records_Retention_and"/>
      <w:bookmarkEnd w:id="18"/>
    </w:p>
    <w:p w:rsidR="00FA7BC1" w:rsidRDefault="00FA7BC1">
      <w:pPr>
        <w:spacing w:after="200" w:line="276" w:lineRule="auto"/>
        <w:rPr>
          <w:rFonts w:eastAsiaTheme="majorEastAsia" w:cstheme="majorBidi"/>
          <w:b/>
          <w:bCs/>
          <w:color w:val="81232C"/>
          <w:sz w:val="36"/>
          <w:szCs w:val="28"/>
        </w:rPr>
      </w:pPr>
      <w:r>
        <w:br w:type="page"/>
      </w:r>
    </w:p>
    <w:p w:rsidR="000F2A6C" w:rsidRPr="000F2A6C" w:rsidRDefault="000F2A6C" w:rsidP="00FA7BC1">
      <w:pPr>
        <w:pStyle w:val="Heading1"/>
        <w:rPr>
          <w:sz w:val="22"/>
        </w:rPr>
      </w:pPr>
      <w:r>
        <w:lastRenderedPageBreak/>
        <w:t>Records Retention and Disposition</w:t>
      </w:r>
    </w:p>
    <w:tbl>
      <w:tblPr>
        <w:tblW w:w="1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6"/>
        <w:gridCol w:w="4876"/>
        <w:gridCol w:w="4876"/>
      </w:tblGrid>
      <w:tr w:rsidR="000F2A6C" w:rsidRPr="006F1035" w:rsidTr="00673109">
        <w:tc>
          <w:tcPr>
            <w:tcW w:w="4876" w:type="dxa"/>
            <w:shd w:val="clear" w:color="auto" w:fill="007684"/>
          </w:tcPr>
          <w:p w:rsidR="000F2A6C" w:rsidRPr="00010C59" w:rsidRDefault="000F2A6C" w:rsidP="00A71747">
            <w:pPr>
              <w:pStyle w:val="Heading2"/>
              <w:spacing w:after="0"/>
              <w:rPr>
                <w:color w:val="FFFFFF" w:themeColor="background1"/>
              </w:rPr>
            </w:pPr>
            <w:r w:rsidRPr="00010C59">
              <w:rPr>
                <w:color w:val="FFFFFF" w:themeColor="background1"/>
              </w:rPr>
              <w:t xml:space="preserve">HIA Requirements </w:t>
            </w:r>
          </w:p>
        </w:tc>
        <w:tc>
          <w:tcPr>
            <w:tcW w:w="4876" w:type="dxa"/>
            <w:shd w:val="clear" w:color="auto" w:fill="007684"/>
          </w:tcPr>
          <w:p w:rsidR="000F2A6C" w:rsidRPr="00010C59" w:rsidRDefault="006573D7" w:rsidP="00A71747">
            <w:pPr>
              <w:spacing w:after="0"/>
              <w:contextualSpacing/>
              <w:rPr>
                <w:b/>
                <w:color w:val="FFFFFF" w:themeColor="background1"/>
              </w:rPr>
            </w:pPr>
            <w:r>
              <w:rPr>
                <w:b/>
                <w:color w:val="FFFFFF" w:themeColor="background1"/>
              </w:rPr>
              <w:t>Sample</w:t>
            </w:r>
            <w:r w:rsidR="000F2A6C" w:rsidRPr="00010C59">
              <w:rPr>
                <w:b/>
                <w:color w:val="FFFFFF" w:themeColor="background1"/>
              </w:rPr>
              <w:t xml:space="preserve"> Practices</w:t>
            </w:r>
          </w:p>
        </w:tc>
        <w:tc>
          <w:tcPr>
            <w:tcW w:w="4876" w:type="dxa"/>
            <w:shd w:val="clear" w:color="auto" w:fill="007684"/>
          </w:tcPr>
          <w:p w:rsidR="000F2A6C" w:rsidRPr="00010C59" w:rsidRDefault="000F2A6C" w:rsidP="00A71747">
            <w:pPr>
              <w:spacing w:after="0"/>
              <w:contextualSpacing/>
              <w:rPr>
                <w:b/>
                <w:color w:val="FFFFFF" w:themeColor="background1"/>
              </w:rPr>
            </w:pPr>
            <w:r>
              <w:rPr>
                <w:b/>
                <w:color w:val="FFFFFF" w:themeColor="background1"/>
              </w:rPr>
              <w:t>Describe How You Meet the Requirement</w:t>
            </w:r>
          </w:p>
        </w:tc>
      </w:tr>
      <w:tr w:rsidR="000F2A6C" w:rsidRPr="006F1035" w:rsidTr="00673109">
        <w:tc>
          <w:tcPr>
            <w:tcW w:w="4876" w:type="dxa"/>
          </w:tcPr>
          <w:p w:rsidR="00E72FD3" w:rsidRPr="006F1035" w:rsidRDefault="00E72FD3" w:rsidP="00E72FD3">
            <w:r w:rsidRPr="006F1035">
              <w:t>Safeguards must be in place for the proper disposal of records to prevent any</w:t>
            </w:r>
            <w:r>
              <w:t xml:space="preserve"> </w:t>
            </w:r>
            <w:r w:rsidRPr="006F1035">
              <w:t>reasonably anticipated unauthorized use or disclosure of the health information or unauthorized access to the health information following its disposal.</w:t>
            </w:r>
          </w:p>
          <w:p w:rsidR="00E72FD3" w:rsidRDefault="00E72FD3" w:rsidP="00E72FD3">
            <w:r w:rsidRPr="00C41F12">
              <w:t>Custodians must not dispose of any records relating to an access request after it is received, even if the records are scheduled for destruction under an approved records retention and disposition schedule.</w:t>
            </w:r>
          </w:p>
          <w:p w:rsidR="000F2A6C" w:rsidRPr="006F1035" w:rsidRDefault="00E72FD3" w:rsidP="00E72FD3">
            <w:pPr>
              <w:pStyle w:val="Numbered"/>
            </w:pPr>
            <w:r>
              <w:t>HIA s</w:t>
            </w:r>
            <w:r w:rsidRPr="00700422">
              <w:t>ection 60(2)(b)</w:t>
            </w:r>
          </w:p>
        </w:tc>
        <w:tc>
          <w:tcPr>
            <w:tcW w:w="4876" w:type="dxa"/>
          </w:tcPr>
          <w:p w:rsidR="00E72FD3" w:rsidRDefault="00E72FD3" w:rsidP="00E72FD3">
            <w:pPr>
              <w:pStyle w:val="Numbered"/>
            </w:pPr>
            <w:r w:rsidRPr="006F1035">
              <w:t>The system archives records in compliance with the custodian’s records retention policies, as required by the HI</w:t>
            </w:r>
            <w:r w:rsidR="00A925BC">
              <w:t>A, professional regulatory body</w:t>
            </w:r>
            <w:r w:rsidRPr="006F1035">
              <w:t xml:space="preserve"> or other legislation. Deletions of records are also documented.</w:t>
            </w:r>
          </w:p>
          <w:p w:rsidR="00E72FD3" w:rsidRDefault="00B328C2" w:rsidP="00E72FD3">
            <w:pPr>
              <w:pStyle w:val="Numbered"/>
            </w:pPr>
            <w:r>
              <w:t xml:space="preserve">Systems or </w:t>
            </w:r>
            <w:r w:rsidR="00E72FD3">
              <w:t>processes are in place to securely dispose of health information where authorized.</w:t>
            </w:r>
          </w:p>
          <w:p w:rsidR="00E72FD3" w:rsidRDefault="00E72FD3" w:rsidP="00E72FD3">
            <w:pPr>
              <w:pStyle w:val="Numbered"/>
            </w:pPr>
            <w:r>
              <w:t>The custodian has a records retention and disposition policy in place.</w:t>
            </w:r>
          </w:p>
          <w:p w:rsidR="000F2A6C" w:rsidRPr="00202A40" w:rsidRDefault="00E72FD3" w:rsidP="00202A40">
            <w:pPr>
              <w:pStyle w:val="Numbered"/>
            </w:pPr>
            <w:r w:rsidRPr="00C41F12">
              <w:t>Custodians belonging to regulatory bodies or working at hospitals may have additional records retention requirements.</w:t>
            </w:r>
          </w:p>
        </w:tc>
        <w:tc>
          <w:tcPr>
            <w:tcW w:w="4876" w:type="dxa"/>
          </w:tcPr>
          <w:p w:rsidR="000F2A6C" w:rsidRPr="006F1035" w:rsidRDefault="00BE6B50" w:rsidP="00A71747">
            <w:pPr>
              <w:spacing w:after="0"/>
              <w:contextualSpacing/>
            </w:pPr>
            <w:r>
              <w:fldChar w:fldCharType="begin">
                <w:ffData>
                  <w:name w:val="Text14"/>
                  <w:enabled/>
                  <w:calcOnExit w:val="0"/>
                  <w:textInput/>
                </w:ffData>
              </w:fldChar>
            </w:r>
            <w:bookmarkStart w:id="19"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bl>
    <w:p w:rsidR="000F2A6C" w:rsidRPr="000F2A6C" w:rsidRDefault="000F2A6C" w:rsidP="00FA7BC1">
      <w:pPr>
        <w:pStyle w:val="Heading1"/>
        <w:rPr>
          <w:sz w:val="22"/>
        </w:rPr>
      </w:pPr>
      <w:bookmarkStart w:id="20" w:name="_Information_Classification"/>
      <w:bookmarkEnd w:id="20"/>
      <w:r>
        <w:t>Information Classification</w:t>
      </w:r>
    </w:p>
    <w:tbl>
      <w:tblPr>
        <w:tblW w:w="1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6"/>
        <w:gridCol w:w="4876"/>
        <w:gridCol w:w="4876"/>
      </w:tblGrid>
      <w:tr w:rsidR="000F2A6C" w:rsidRPr="006F1035" w:rsidTr="00673109">
        <w:tc>
          <w:tcPr>
            <w:tcW w:w="4876" w:type="dxa"/>
            <w:shd w:val="clear" w:color="auto" w:fill="007684"/>
          </w:tcPr>
          <w:p w:rsidR="000F2A6C" w:rsidRPr="00010C59" w:rsidRDefault="000F2A6C" w:rsidP="00A71747">
            <w:pPr>
              <w:pStyle w:val="Heading2"/>
              <w:spacing w:after="0"/>
              <w:rPr>
                <w:color w:val="FFFFFF" w:themeColor="background1"/>
              </w:rPr>
            </w:pPr>
            <w:r w:rsidRPr="00010C59">
              <w:rPr>
                <w:color w:val="FFFFFF" w:themeColor="background1"/>
              </w:rPr>
              <w:t xml:space="preserve">HIA Requirements </w:t>
            </w:r>
          </w:p>
        </w:tc>
        <w:tc>
          <w:tcPr>
            <w:tcW w:w="4876" w:type="dxa"/>
            <w:shd w:val="clear" w:color="auto" w:fill="007684"/>
          </w:tcPr>
          <w:p w:rsidR="000F2A6C" w:rsidRPr="00010C59" w:rsidRDefault="006573D7" w:rsidP="00A71747">
            <w:pPr>
              <w:spacing w:after="0"/>
              <w:contextualSpacing/>
              <w:rPr>
                <w:b/>
                <w:color w:val="FFFFFF" w:themeColor="background1"/>
              </w:rPr>
            </w:pPr>
            <w:r>
              <w:rPr>
                <w:b/>
                <w:color w:val="FFFFFF" w:themeColor="background1"/>
              </w:rPr>
              <w:t>Sample</w:t>
            </w:r>
            <w:r w:rsidR="000F2A6C" w:rsidRPr="00010C59">
              <w:rPr>
                <w:b/>
                <w:color w:val="FFFFFF" w:themeColor="background1"/>
              </w:rPr>
              <w:t xml:space="preserve"> Practices</w:t>
            </w:r>
          </w:p>
        </w:tc>
        <w:tc>
          <w:tcPr>
            <w:tcW w:w="4876" w:type="dxa"/>
            <w:shd w:val="clear" w:color="auto" w:fill="007684"/>
          </w:tcPr>
          <w:p w:rsidR="000F2A6C" w:rsidRPr="00010C59" w:rsidRDefault="000F2A6C" w:rsidP="00A71747">
            <w:pPr>
              <w:spacing w:after="0"/>
              <w:contextualSpacing/>
              <w:rPr>
                <w:b/>
                <w:color w:val="FFFFFF" w:themeColor="background1"/>
              </w:rPr>
            </w:pPr>
            <w:r>
              <w:rPr>
                <w:b/>
                <w:color w:val="FFFFFF" w:themeColor="background1"/>
              </w:rPr>
              <w:t>Describe How You Meet the Requirement</w:t>
            </w:r>
          </w:p>
        </w:tc>
      </w:tr>
      <w:tr w:rsidR="000F2A6C" w:rsidRPr="006F1035" w:rsidTr="00673109">
        <w:tc>
          <w:tcPr>
            <w:tcW w:w="4876" w:type="dxa"/>
          </w:tcPr>
          <w:p w:rsidR="00E72FD3" w:rsidRDefault="00E72FD3" w:rsidP="00E72FD3">
            <w:r>
              <w:t>The collection, use or disclosure of health information is restricted if the health information is individually identifying.</w:t>
            </w:r>
            <w:r w:rsidRPr="006F1035">
              <w:t xml:space="preserve"> </w:t>
            </w:r>
          </w:p>
          <w:p w:rsidR="000F2A6C" w:rsidRPr="006F1035" w:rsidRDefault="00E72FD3" w:rsidP="00A925BC">
            <w:pPr>
              <w:pStyle w:val="Numbered"/>
            </w:pPr>
            <w:r w:rsidRPr="007A7CB6">
              <w:t xml:space="preserve">HIA </w:t>
            </w:r>
            <w:r w:rsidRPr="00E72FD3">
              <w:t>sections</w:t>
            </w:r>
            <w:r>
              <w:t xml:space="preserve"> 19, 20, 26, 27, 32</w:t>
            </w:r>
            <w:r w:rsidR="00A925BC">
              <w:t>,</w:t>
            </w:r>
            <w:r>
              <w:t xml:space="preserve"> 33</w:t>
            </w:r>
            <w:r w:rsidR="00A925BC">
              <w:t xml:space="preserve">, 34, 35, 36 and </w:t>
            </w:r>
            <w:r w:rsidR="00F31337">
              <w:t>37</w:t>
            </w:r>
          </w:p>
        </w:tc>
        <w:tc>
          <w:tcPr>
            <w:tcW w:w="4876" w:type="dxa"/>
          </w:tcPr>
          <w:p w:rsidR="00E72FD3" w:rsidRDefault="00E72FD3" w:rsidP="00E72FD3">
            <w:pPr>
              <w:spacing w:after="0"/>
              <w:contextualSpacing/>
            </w:pPr>
            <w:r>
              <w:t>Custodian has a process for classifying health information in order to:</w:t>
            </w:r>
          </w:p>
          <w:p w:rsidR="00E72FD3" w:rsidRDefault="00E72FD3" w:rsidP="00E72FD3">
            <w:pPr>
              <w:pStyle w:val="Numbered"/>
            </w:pPr>
            <w:r>
              <w:t>Distinguish health information that is individually identifying from health information that is not</w:t>
            </w:r>
            <w:r w:rsidR="00A925BC">
              <w:t>.</w:t>
            </w:r>
          </w:p>
          <w:p w:rsidR="000F2A6C" w:rsidRPr="006F1035" w:rsidRDefault="00E72FD3" w:rsidP="00A925BC">
            <w:pPr>
              <w:pStyle w:val="Numbered"/>
            </w:pPr>
            <w:r>
              <w:t>Identify where an expressed wish applies to records</w:t>
            </w:r>
            <w:r w:rsidR="00A925BC">
              <w:t>.</w:t>
            </w:r>
          </w:p>
        </w:tc>
        <w:tc>
          <w:tcPr>
            <w:tcW w:w="4876" w:type="dxa"/>
          </w:tcPr>
          <w:p w:rsidR="000F2A6C" w:rsidRPr="006F1035" w:rsidRDefault="00BE6B50" w:rsidP="00A71747">
            <w:pPr>
              <w:spacing w:after="0"/>
              <w:contextualSpacing/>
            </w:pPr>
            <w:r>
              <w:fldChar w:fldCharType="begin">
                <w:ffData>
                  <w:name w:val="Text15"/>
                  <w:enabled/>
                  <w:calcOnExit w:val="0"/>
                  <w:textInput/>
                </w:ffData>
              </w:fldChar>
            </w:r>
            <w:bookmarkStart w:id="21"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bl>
    <w:p w:rsidR="00FA7BC1" w:rsidRDefault="00FA7BC1" w:rsidP="00FA7BC1">
      <w:pPr>
        <w:pStyle w:val="Heading1"/>
      </w:pPr>
    </w:p>
    <w:p w:rsidR="00FA7BC1" w:rsidRDefault="00FA7BC1">
      <w:pPr>
        <w:spacing w:after="200" w:line="276" w:lineRule="auto"/>
        <w:rPr>
          <w:rFonts w:eastAsiaTheme="majorEastAsia" w:cstheme="majorBidi"/>
          <w:b/>
          <w:bCs/>
          <w:color w:val="81232C"/>
          <w:sz w:val="36"/>
          <w:szCs w:val="28"/>
        </w:rPr>
      </w:pPr>
      <w:r>
        <w:br w:type="page"/>
      </w:r>
    </w:p>
    <w:p w:rsidR="000F2A6C" w:rsidRPr="000F2A6C" w:rsidRDefault="000F2A6C" w:rsidP="00FA7BC1">
      <w:pPr>
        <w:pStyle w:val="Heading1"/>
        <w:rPr>
          <w:sz w:val="22"/>
        </w:rPr>
      </w:pPr>
      <w:r>
        <w:lastRenderedPageBreak/>
        <w:t>Risk Assessment</w:t>
      </w:r>
    </w:p>
    <w:tbl>
      <w:tblPr>
        <w:tblW w:w="1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6"/>
        <w:gridCol w:w="4876"/>
        <w:gridCol w:w="4876"/>
      </w:tblGrid>
      <w:tr w:rsidR="000F2A6C" w:rsidRPr="006F1035" w:rsidTr="00673109">
        <w:tc>
          <w:tcPr>
            <w:tcW w:w="4876" w:type="dxa"/>
            <w:shd w:val="clear" w:color="auto" w:fill="007684"/>
          </w:tcPr>
          <w:p w:rsidR="000F2A6C" w:rsidRPr="00010C59" w:rsidRDefault="000F2A6C" w:rsidP="00A71747">
            <w:pPr>
              <w:pStyle w:val="Heading2"/>
              <w:spacing w:after="0"/>
              <w:rPr>
                <w:color w:val="FFFFFF" w:themeColor="background1"/>
              </w:rPr>
            </w:pPr>
            <w:r w:rsidRPr="00010C59">
              <w:rPr>
                <w:color w:val="FFFFFF" w:themeColor="background1"/>
              </w:rPr>
              <w:t xml:space="preserve">HIA Requirements </w:t>
            </w:r>
          </w:p>
        </w:tc>
        <w:tc>
          <w:tcPr>
            <w:tcW w:w="4876" w:type="dxa"/>
            <w:shd w:val="clear" w:color="auto" w:fill="007684"/>
          </w:tcPr>
          <w:p w:rsidR="000F2A6C" w:rsidRPr="00010C59" w:rsidRDefault="006573D7" w:rsidP="00A71747">
            <w:pPr>
              <w:spacing w:after="0"/>
              <w:contextualSpacing/>
              <w:rPr>
                <w:b/>
                <w:color w:val="FFFFFF" w:themeColor="background1"/>
              </w:rPr>
            </w:pPr>
            <w:r>
              <w:rPr>
                <w:b/>
                <w:color w:val="FFFFFF" w:themeColor="background1"/>
              </w:rPr>
              <w:t>Sample</w:t>
            </w:r>
            <w:r w:rsidR="000F2A6C" w:rsidRPr="00010C59">
              <w:rPr>
                <w:b/>
                <w:color w:val="FFFFFF" w:themeColor="background1"/>
              </w:rPr>
              <w:t xml:space="preserve"> Practices</w:t>
            </w:r>
          </w:p>
        </w:tc>
        <w:tc>
          <w:tcPr>
            <w:tcW w:w="4876" w:type="dxa"/>
            <w:shd w:val="clear" w:color="auto" w:fill="007684"/>
          </w:tcPr>
          <w:p w:rsidR="000F2A6C" w:rsidRPr="00010C59" w:rsidRDefault="000F2A6C" w:rsidP="00A71747">
            <w:pPr>
              <w:spacing w:after="0"/>
              <w:contextualSpacing/>
              <w:rPr>
                <w:b/>
                <w:color w:val="FFFFFF" w:themeColor="background1"/>
              </w:rPr>
            </w:pPr>
            <w:r>
              <w:rPr>
                <w:b/>
                <w:color w:val="FFFFFF" w:themeColor="background1"/>
              </w:rPr>
              <w:t>Describe How You Meet the Requirement</w:t>
            </w:r>
          </w:p>
        </w:tc>
      </w:tr>
      <w:tr w:rsidR="000F2A6C" w:rsidRPr="006F1035" w:rsidTr="00673109">
        <w:tc>
          <w:tcPr>
            <w:tcW w:w="4876" w:type="dxa"/>
          </w:tcPr>
          <w:p w:rsidR="00E72FD3" w:rsidRDefault="00E72FD3" w:rsidP="00E72FD3">
            <w:r w:rsidRPr="006F1035">
              <w:t xml:space="preserve">New risks to the confidentiality, integrity and availability of health information may arise over time as technology and business processes evolve. To detect these risks, the custodian needs a policy to conduct periodic risk assessments. </w:t>
            </w:r>
          </w:p>
          <w:p w:rsidR="00A925BC" w:rsidRDefault="00E72FD3" w:rsidP="00E72FD3">
            <w:pPr>
              <w:pStyle w:val="Numbered"/>
            </w:pPr>
            <w:r>
              <w:t>HIA s</w:t>
            </w:r>
            <w:r w:rsidR="00A925BC">
              <w:t>ection 60</w:t>
            </w:r>
          </w:p>
          <w:p w:rsidR="000F2A6C" w:rsidRPr="00E72FD3" w:rsidRDefault="00E72FD3" w:rsidP="00E72FD3">
            <w:pPr>
              <w:pStyle w:val="Numbered"/>
            </w:pPr>
            <w:r w:rsidRPr="00A925BC">
              <w:rPr>
                <w:i/>
              </w:rPr>
              <w:t>Health Information Regulation</w:t>
            </w:r>
            <w:r>
              <w:t xml:space="preserve"> s</w:t>
            </w:r>
            <w:r w:rsidRPr="0038663C">
              <w:t>ection 8</w:t>
            </w:r>
          </w:p>
        </w:tc>
        <w:tc>
          <w:tcPr>
            <w:tcW w:w="4876" w:type="dxa"/>
          </w:tcPr>
          <w:p w:rsidR="00E72FD3" w:rsidRPr="006F1035" w:rsidRDefault="00E72FD3" w:rsidP="00A925BC">
            <w:pPr>
              <w:spacing w:after="0"/>
            </w:pPr>
            <w:r w:rsidRPr="00E72FD3">
              <w:t xml:space="preserve">Custodian has a process to periodically identify and mitigate the risks to information in the </w:t>
            </w:r>
            <w:r w:rsidR="00202A40">
              <w:t>EHR</w:t>
            </w:r>
            <w:r w:rsidRPr="00E72FD3">
              <w:t>, which could include</w:t>
            </w:r>
            <w:r w:rsidRPr="006F1035">
              <w:t>:</w:t>
            </w:r>
          </w:p>
          <w:p w:rsidR="00E72FD3" w:rsidRPr="006F1035" w:rsidRDefault="00E72FD3" w:rsidP="00E72FD3">
            <w:pPr>
              <w:pStyle w:val="Numbered"/>
            </w:pPr>
            <w:r>
              <w:t xml:space="preserve">Third </w:t>
            </w:r>
            <w:r w:rsidRPr="006F1035">
              <w:t>party privacy and security reviews/audits</w:t>
            </w:r>
            <w:r w:rsidR="00A925BC">
              <w:t>.</w:t>
            </w:r>
          </w:p>
          <w:p w:rsidR="00E72FD3" w:rsidRPr="006F1035" w:rsidRDefault="00E72FD3" w:rsidP="00E72FD3">
            <w:pPr>
              <w:pStyle w:val="Numbered"/>
            </w:pPr>
            <w:r>
              <w:t>P</w:t>
            </w:r>
            <w:r w:rsidRPr="006F1035">
              <w:t>enetration testing</w:t>
            </w:r>
            <w:r w:rsidR="00A925BC">
              <w:t>.</w:t>
            </w:r>
          </w:p>
          <w:p w:rsidR="000F2A6C" w:rsidRPr="006F1035" w:rsidRDefault="00E72FD3" w:rsidP="00202A40">
            <w:pPr>
              <w:pStyle w:val="Numbered"/>
            </w:pPr>
            <w:r w:rsidRPr="006F1035">
              <w:t xml:space="preserve">Internal quality improvement program that tracks privacy and security vulnerabilities, weaknesses and near-misses.  </w:t>
            </w:r>
          </w:p>
        </w:tc>
        <w:tc>
          <w:tcPr>
            <w:tcW w:w="4876" w:type="dxa"/>
          </w:tcPr>
          <w:p w:rsidR="000F2A6C" w:rsidRPr="006F1035" w:rsidRDefault="00BE6B50" w:rsidP="00A71747">
            <w:pPr>
              <w:spacing w:after="0"/>
              <w:contextualSpacing/>
            </w:pPr>
            <w:r>
              <w:fldChar w:fldCharType="begin">
                <w:ffData>
                  <w:name w:val="Text16"/>
                  <w:enabled/>
                  <w:calcOnExit w:val="0"/>
                  <w:textInput/>
                </w:ffData>
              </w:fldChar>
            </w:r>
            <w:bookmarkStart w:id="22"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bl>
    <w:p w:rsidR="000F2A6C" w:rsidRPr="000F2A6C" w:rsidRDefault="000F2A6C" w:rsidP="00FA7BC1">
      <w:pPr>
        <w:pStyle w:val="Heading1"/>
        <w:rPr>
          <w:sz w:val="22"/>
        </w:rPr>
      </w:pPr>
      <w:r>
        <w:t>Physical Security of Data and Equipment</w:t>
      </w:r>
    </w:p>
    <w:tbl>
      <w:tblPr>
        <w:tblW w:w="1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6"/>
        <w:gridCol w:w="4876"/>
        <w:gridCol w:w="4876"/>
      </w:tblGrid>
      <w:tr w:rsidR="000F2A6C" w:rsidRPr="006F1035" w:rsidTr="00673109">
        <w:tc>
          <w:tcPr>
            <w:tcW w:w="4876" w:type="dxa"/>
            <w:shd w:val="clear" w:color="auto" w:fill="007684"/>
          </w:tcPr>
          <w:p w:rsidR="000F2A6C" w:rsidRPr="00010C59" w:rsidRDefault="000F2A6C" w:rsidP="00A71747">
            <w:pPr>
              <w:pStyle w:val="Heading2"/>
              <w:spacing w:after="0"/>
              <w:rPr>
                <w:color w:val="FFFFFF" w:themeColor="background1"/>
              </w:rPr>
            </w:pPr>
            <w:r w:rsidRPr="00010C59">
              <w:rPr>
                <w:color w:val="FFFFFF" w:themeColor="background1"/>
              </w:rPr>
              <w:t xml:space="preserve">HIA Requirements </w:t>
            </w:r>
          </w:p>
        </w:tc>
        <w:tc>
          <w:tcPr>
            <w:tcW w:w="4876" w:type="dxa"/>
            <w:shd w:val="clear" w:color="auto" w:fill="007684"/>
          </w:tcPr>
          <w:p w:rsidR="000F2A6C" w:rsidRPr="00010C59" w:rsidRDefault="006573D7" w:rsidP="00A71747">
            <w:pPr>
              <w:spacing w:after="0"/>
              <w:contextualSpacing/>
              <w:rPr>
                <w:b/>
                <w:color w:val="FFFFFF" w:themeColor="background1"/>
              </w:rPr>
            </w:pPr>
            <w:r>
              <w:rPr>
                <w:b/>
                <w:color w:val="FFFFFF" w:themeColor="background1"/>
              </w:rPr>
              <w:t>Sample</w:t>
            </w:r>
            <w:r w:rsidR="000F2A6C" w:rsidRPr="00010C59">
              <w:rPr>
                <w:b/>
                <w:color w:val="FFFFFF" w:themeColor="background1"/>
              </w:rPr>
              <w:t xml:space="preserve"> Practices</w:t>
            </w:r>
          </w:p>
        </w:tc>
        <w:tc>
          <w:tcPr>
            <w:tcW w:w="4876" w:type="dxa"/>
            <w:shd w:val="clear" w:color="auto" w:fill="007684"/>
          </w:tcPr>
          <w:p w:rsidR="000F2A6C" w:rsidRPr="00010C59" w:rsidRDefault="000F2A6C" w:rsidP="00A71747">
            <w:pPr>
              <w:spacing w:after="0"/>
              <w:contextualSpacing/>
              <w:rPr>
                <w:b/>
                <w:color w:val="FFFFFF" w:themeColor="background1"/>
              </w:rPr>
            </w:pPr>
            <w:r>
              <w:rPr>
                <w:b/>
                <w:color w:val="FFFFFF" w:themeColor="background1"/>
              </w:rPr>
              <w:t>Describe How You Meet the Requirement</w:t>
            </w:r>
          </w:p>
        </w:tc>
      </w:tr>
      <w:tr w:rsidR="000F2A6C" w:rsidRPr="006F1035" w:rsidTr="00673109">
        <w:tc>
          <w:tcPr>
            <w:tcW w:w="4876" w:type="dxa"/>
          </w:tcPr>
          <w:p w:rsidR="00E72FD3" w:rsidRDefault="00E72FD3" w:rsidP="00E72FD3">
            <w:r w:rsidRPr="006F1035">
              <w:t>Custodians must maintain reasonable physical safeguards to protect health information.</w:t>
            </w:r>
          </w:p>
          <w:p w:rsidR="000F2A6C" w:rsidRDefault="00E72FD3" w:rsidP="00E72FD3">
            <w:pPr>
              <w:pStyle w:val="Numbered"/>
            </w:pPr>
            <w:r>
              <w:t>HIA s</w:t>
            </w:r>
            <w:r w:rsidRPr="00C359CC">
              <w:t>ection 60</w:t>
            </w:r>
          </w:p>
          <w:p w:rsidR="00F31337" w:rsidRPr="006F1035" w:rsidRDefault="00F31337" w:rsidP="00E72FD3">
            <w:pPr>
              <w:pStyle w:val="Numbered"/>
            </w:pPr>
            <w:r>
              <w:rPr>
                <w:i/>
              </w:rPr>
              <w:t xml:space="preserve">Health Information Regulation </w:t>
            </w:r>
            <w:r>
              <w:t>section 8</w:t>
            </w:r>
          </w:p>
        </w:tc>
        <w:tc>
          <w:tcPr>
            <w:tcW w:w="4876" w:type="dxa"/>
          </w:tcPr>
          <w:p w:rsidR="00E72FD3" w:rsidRPr="006F1035" w:rsidRDefault="00E72FD3" w:rsidP="00CE50E7">
            <w:pPr>
              <w:spacing w:after="0"/>
            </w:pPr>
            <w:r w:rsidRPr="006F1035">
              <w:t xml:space="preserve">Safeguards are in place to manage physical access to health information stored within the system, which could include: </w:t>
            </w:r>
          </w:p>
          <w:p w:rsidR="00E72FD3" w:rsidRPr="006F1035" w:rsidRDefault="00E72FD3" w:rsidP="00E72FD3">
            <w:pPr>
              <w:pStyle w:val="Numbered"/>
            </w:pPr>
            <w:r w:rsidRPr="006F1035">
              <w:t>Alarm systems</w:t>
            </w:r>
            <w:r w:rsidR="00CE50E7">
              <w:t>.</w:t>
            </w:r>
          </w:p>
          <w:p w:rsidR="00E72FD3" w:rsidRPr="006F1035" w:rsidRDefault="00E72FD3" w:rsidP="00E72FD3">
            <w:pPr>
              <w:pStyle w:val="Numbered"/>
            </w:pPr>
            <w:r w:rsidRPr="006F1035">
              <w:t>Secured server rooms</w:t>
            </w:r>
            <w:r w:rsidR="00CE50E7">
              <w:t>.</w:t>
            </w:r>
          </w:p>
          <w:p w:rsidR="00E72FD3" w:rsidRPr="006F1035" w:rsidRDefault="00E72FD3" w:rsidP="00E72FD3">
            <w:pPr>
              <w:pStyle w:val="Numbered"/>
            </w:pPr>
            <w:r w:rsidRPr="006F1035">
              <w:t>Secured routers and wireless access points</w:t>
            </w:r>
            <w:r w:rsidR="00CE50E7">
              <w:t>.</w:t>
            </w:r>
          </w:p>
          <w:p w:rsidR="00E72FD3" w:rsidRPr="006F1035" w:rsidRDefault="00E72FD3" w:rsidP="00E72FD3">
            <w:pPr>
              <w:pStyle w:val="Numbered"/>
            </w:pPr>
            <w:r w:rsidRPr="006F1035">
              <w:t>Cables to lock mobile devices</w:t>
            </w:r>
            <w:r w:rsidR="00CE50E7">
              <w:t>.</w:t>
            </w:r>
          </w:p>
          <w:p w:rsidR="00E72FD3" w:rsidRPr="006F1035" w:rsidRDefault="00E72FD3" w:rsidP="00E72FD3">
            <w:pPr>
              <w:pStyle w:val="Numbered"/>
              <w:spacing w:after="240"/>
            </w:pPr>
            <w:r w:rsidRPr="006F1035">
              <w:t>Maintaining backup and archival copies of health information in a secure off-site location</w:t>
            </w:r>
            <w:r>
              <w:t>.</w:t>
            </w:r>
          </w:p>
          <w:p w:rsidR="000F2A6C" w:rsidRPr="00E72FD3" w:rsidRDefault="00E72FD3" w:rsidP="00E72FD3">
            <w:pPr>
              <w:spacing w:after="0"/>
            </w:pPr>
            <w:r w:rsidRPr="006F1035">
              <w:t>Measures to protect against environmental hazards (e.g. power loss, fire, flooding</w:t>
            </w:r>
            <w:r w:rsidR="00CE50E7">
              <w:t>, etc.</w:t>
            </w:r>
            <w:r w:rsidRPr="006F1035">
              <w:t xml:space="preserve">) </w:t>
            </w:r>
            <w:r>
              <w:t xml:space="preserve">are </w:t>
            </w:r>
            <w:r w:rsidRPr="006F1035">
              <w:t xml:space="preserve">based on a </w:t>
            </w:r>
            <w:r w:rsidRPr="00CE50E7">
              <w:rPr>
                <w:b/>
              </w:rPr>
              <w:t>risk assessment</w:t>
            </w:r>
            <w:r>
              <w:t>.</w:t>
            </w:r>
          </w:p>
        </w:tc>
        <w:tc>
          <w:tcPr>
            <w:tcW w:w="4876" w:type="dxa"/>
          </w:tcPr>
          <w:p w:rsidR="000F2A6C" w:rsidRPr="006F1035" w:rsidRDefault="00BE6B50" w:rsidP="00A71747">
            <w:pPr>
              <w:spacing w:after="0"/>
              <w:contextualSpacing/>
            </w:pPr>
            <w:r>
              <w:fldChar w:fldCharType="begin">
                <w:ffData>
                  <w:name w:val="Text17"/>
                  <w:enabled/>
                  <w:calcOnExit w:val="0"/>
                  <w:textInput/>
                </w:ffData>
              </w:fldChar>
            </w:r>
            <w:bookmarkStart w:id="23"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bl>
    <w:p w:rsidR="000F2A6C" w:rsidRPr="000F2A6C" w:rsidRDefault="000F2A6C" w:rsidP="00FA7BC1">
      <w:pPr>
        <w:pStyle w:val="Heading1"/>
        <w:rPr>
          <w:sz w:val="22"/>
        </w:rPr>
      </w:pPr>
      <w:bookmarkStart w:id="24" w:name="_Network_and_Communications"/>
      <w:bookmarkEnd w:id="24"/>
      <w:r>
        <w:t>Network and Communications Security</w:t>
      </w:r>
    </w:p>
    <w:tbl>
      <w:tblPr>
        <w:tblW w:w="1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6"/>
        <w:gridCol w:w="4876"/>
        <w:gridCol w:w="4876"/>
      </w:tblGrid>
      <w:tr w:rsidR="000F2A6C" w:rsidRPr="006F1035" w:rsidTr="00673109">
        <w:tc>
          <w:tcPr>
            <w:tcW w:w="4876" w:type="dxa"/>
            <w:shd w:val="clear" w:color="auto" w:fill="007684"/>
          </w:tcPr>
          <w:p w:rsidR="000F2A6C" w:rsidRPr="00010C59" w:rsidRDefault="000F2A6C" w:rsidP="00A71747">
            <w:pPr>
              <w:pStyle w:val="Heading2"/>
              <w:spacing w:after="0"/>
              <w:rPr>
                <w:color w:val="FFFFFF" w:themeColor="background1"/>
              </w:rPr>
            </w:pPr>
            <w:r w:rsidRPr="00010C59">
              <w:rPr>
                <w:color w:val="FFFFFF" w:themeColor="background1"/>
              </w:rPr>
              <w:t xml:space="preserve">HIA Requirements </w:t>
            </w:r>
          </w:p>
        </w:tc>
        <w:tc>
          <w:tcPr>
            <w:tcW w:w="4876" w:type="dxa"/>
            <w:shd w:val="clear" w:color="auto" w:fill="007684"/>
          </w:tcPr>
          <w:p w:rsidR="000F2A6C" w:rsidRPr="00010C59" w:rsidRDefault="006573D7" w:rsidP="00A71747">
            <w:pPr>
              <w:spacing w:after="0"/>
              <w:contextualSpacing/>
              <w:rPr>
                <w:b/>
                <w:color w:val="FFFFFF" w:themeColor="background1"/>
              </w:rPr>
            </w:pPr>
            <w:r>
              <w:rPr>
                <w:b/>
                <w:color w:val="FFFFFF" w:themeColor="background1"/>
              </w:rPr>
              <w:t>Sample</w:t>
            </w:r>
            <w:r w:rsidR="000F2A6C" w:rsidRPr="00010C59">
              <w:rPr>
                <w:b/>
                <w:color w:val="FFFFFF" w:themeColor="background1"/>
              </w:rPr>
              <w:t xml:space="preserve"> Practices</w:t>
            </w:r>
          </w:p>
        </w:tc>
        <w:tc>
          <w:tcPr>
            <w:tcW w:w="4876" w:type="dxa"/>
            <w:shd w:val="clear" w:color="auto" w:fill="007684"/>
          </w:tcPr>
          <w:p w:rsidR="000F2A6C" w:rsidRPr="00010C59" w:rsidRDefault="000F2A6C" w:rsidP="00A71747">
            <w:pPr>
              <w:spacing w:after="0"/>
              <w:contextualSpacing/>
              <w:rPr>
                <w:b/>
                <w:color w:val="FFFFFF" w:themeColor="background1"/>
              </w:rPr>
            </w:pPr>
            <w:r>
              <w:rPr>
                <w:b/>
                <w:color w:val="FFFFFF" w:themeColor="background1"/>
              </w:rPr>
              <w:t>Describe How You Meet the Requirement</w:t>
            </w:r>
          </w:p>
        </w:tc>
      </w:tr>
      <w:tr w:rsidR="000F2A6C" w:rsidRPr="006F1035" w:rsidTr="00673109">
        <w:tc>
          <w:tcPr>
            <w:tcW w:w="4876" w:type="dxa"/>
          </w:tcPr>
          <w:p w:rsidR="00E72FD3" w:rsidRPr="006F1035" w:rsidRDefault="00E72FD3" w:rsidP="00E72FD3">
            <w:r w:rsidRPr="006F1035">
              <w:t>Custodians must maintain reasonable technical safeguards to protect health information.</w:t>
            </w:r>
          </w:p>
          <w:p w:rsidR="000F2A6C" w:rsidRDefault="00E72FD3" w:rsidP="00E72FD3">
            <w:pPr>
              <w:pStyle w:val="Numbered"/>
            </w:pPr>
            <w:r>
              <w:t>HIA s</w:t>
            </w:r>
            <w:r w:rsidRPr="00C359CC">
              <w:t>ection 60</w:t>
            </w:r>
          </w:p>
          <w:p w:rsidR="00F31337" w:rsidRPr="006F1035" w:rsidRDefault="00F31337" w:rsidP="00E72FD3">
            <w:pPr>
              <w:pStyle w:val="Numbered"/>
            </w:pPr>
            <w:r>
              <w:rPr>
                <w:i/>
              </w:rPr>
              <w:t xml:space="preserve">Health Information Regulation </w:t>
            </w:r>
            <w:r>
              <w:t>section 8</w:t>
            </w:r>
          </w:p>
        </w:tc>
        <w:tc>
          <w:tcPr>
            <w:tcW w:w="4876" w:type="dxa"/>
          </w:tcPr>
          <w:p w:rsidR="00E72FD3" w:rsidRDefault="00E72FD3" w:rsidP="00E72FD3">
            <w:pPr>
              <w:pStyle w:val="Numbered"/>
            </w:pPr>
            <w:r w:rsidRPr="006F1035">
              <w:t xml:space="preserve">The system and network are protected from unauthorized access through use of firewalls, anti-virus software, intrusion </w:t>
            </w:r>
            <w:r w:rsidR="003406B7">
              <w:t xml:space="preserve">prevention and </w:t>
            </w:r>
            <w:r w:rsidRPr="006F1035">
              <w:t>detection</w:t>
            </w:r>
            <w:r w:rsidR="003406B7">
              <w:t>, and regular review of system</w:t>
            </w:r>
            <w:r w:rsidRPr="006F1035">
              <w:t xml:space="preserve"> logs.</w:t>
            </w:r>
            <w:r>
              <w:t xml:space="preserve"> </w:t>
            </w:r>
          </w:p>
          <w:p w:rsidR="000F2A6C" w:rsidRPr="006F1035" w:rsidRDefault="00E72FD3" w:rsidP="003406B7">
            <w:pPr>
              <w:pStyle w:val="Numbered"/>
            </w:pPr>
            <w:r>
              <w:t xml:space="preserve">Encryption over open networks </w:t>
            </w:r>
            <w:r w:rsidR="003406B7">
              <w:t>us</w:t>
            </w:r>
            <w:r>
              <w:t>ed when transmitting identifying health information.</w:t>
            </w:r>
          </w:p>
        </w:tc>
        <w:tc>
          <w:tcPr>
            <w:tcW w:w="4876" w:type="dxa"/>
          </w:tcPr>
          <w:p w:rsidR="000F2A6C" w:rsidRPr="006F1035" w:rsidRDefault="00BE6B50" w:rsidP="00A71747">
            <w:pPr>
              <w:spacing w:after="0"/>
              <w:contextualSpacing/>
            </w:pPr>
            <w:r>
              <w:fldChar w:fldCharType="begin">
                <w:ffData>
                  <w:name w:val="Text18"/>
                  <w:enabled/>
                  <w:calcOnExit w:val="0"/>
                  <w:textInput/>
                </w:ffData>
              </w:fldChar>
            </w:r>
            <w:bookmarkStart w:id="25"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bl>
    <w:p w:rsidR="006A64EA" w:rsidRDefault="006A64EA" w:rsidP="00A44A6D"/>
    <w:p w:rsidR="000F2A6C" w:rsidRPr="000F2A6C" w:rsidRDefault="000F2A6C" w:rsidP="00FA7BC1">
      <w:pPr>
        <w:pStyle w:val="Heading1"/>
        <w:rPr>
          <w:sz w:val="22"/>
        </w:rPr>
      </w:pPr>
      <w:bookmarkStart w:id="26" w:name="_Access_Controls"/>
      <w:bookmarkEnd w:id="26"/>
      <w:r>
        <w:t>Access Controls</w:t>
      </w:r>
    </w:p>
    <w:tbl>
      <w:tblPr>
        <w:tblW w:w="1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6"/>
        <w:gridCol w:w="4876"/>
        <w:gridCol w:w="4876"/>
      </w:tblGrid>
      <w:tr w:rsidR="000F2A6C" w:rsidRPr="006F1035" w:rsidTr="00673109">
        <w:tc>
          <w:tcPr>
            <w:tcW w:w="4876" w:type="dxa"/>
            <w:shd w:val="clear" w:color="auto" w:fill="007684"/>
          </w:tcPr>
          <w:p w:rsidR="000F2A6C" w:rsidRPr="00010C59" w:rsidRDefault="000F2A6C" w:rsidP="00A71747">
            <w:pPr>
              <w:pStyle w:val="Heading2"/>
              <w:spacing w:after="0"/>
              <w:rPr>
                <w:color w:val="FFFFFF" w:themeColor="background1"/>
              </w:rPr>
            </w:pPr>
            <w:r w:rsidRPr="00010C59">
              <w:rPr>
                <w:color w:val="FFFFFF" w:themeColor="background1"/>
              </w:rPr>
              <w:t xml:space="preserve">HIA Requirements </w:t>
            </w:r>
          </w:p>
        </w:tc>
        <w:tc>
          <w:tcPr>
            <w:tcW w:w="4876" w:type="dxa"/>
            <w:shd w:val="clear" w:color="auto" w:fill="007684"/>
          </w:tcPr>
          <w:p w:rsidR="000F2A6C" w:rsidRPr="00010C59" w:rsidRDefault="006573D7" w:rsidP="00A71747">
            <w:pPr>
              <w:spacing w:after="0"/>
              <w:contextualSpacing/>
              <w:rPr>
                <w:b/>
                <w:color w:val="FFFFFF" w:themeColor="background1"/>
              </w:rPr>
            </w:pPr>
            <w:r>
              <w:rPr>
                <w:b/>
                <w:color w:val="FFFFFF" w:themeColor="background1"/>
              </w:rPr>
              <w:t>Sample</w:t>
            </w:r>
            <w:r w:rsidR="000F2A6C" w:rsidRPr="00010C59">
              <w:rPr>
                <w:b/>
                <w:color w:val="FFFFFF" w:themeColor="background1"/>
              </w:rPr>
              <w:t xml:space="preserve"> Practices</w:t>
            </w:r>
          </w:p>
        </w:tc>
        <w:tc>
          <w:tcPr>
            <w:tcW w:w="4876" w:type="dxa"/>
            <w:shd w:val="clear" w:color="auto" w:fill="007684"/>
          </w:tcPr>
          <w:p w:rsidR="000F2A6C" w:rsidRPr="00010C59" w:rsidRDefault="000F2A6C" w:rsidP="00A71747">
            <w:pPr>
              <w:spacing w:after="0"/>
              <w:contextualSpacing/>
              <w:rPr>
                <w:b/>
                <w:color w:val="FFFFFF" w:themeColor="background1"/>
              </w:rPr>
            </w:pPr>
            <w:r>
              <w:rPr>
                <w:b/>
                <w:color w:val="FFFFFF" w:themeColor="background1"/>
              </w:rPr>
              <w:t>Describe How You Meet the Requirement</w:t>
            </w:r>
          </w:p>
        </w:tc>
      </w:tr>
      <w:tr w:rsidR="000F2A6C" w:rsidRPr="006F1035" w:rsidTr="00673109">
        <w:tc>
          <w:tcPr>
            <w:tcW w:w="4876" w:type="dxa"/>
          </w:tcPr>
          <w:p w:rsidR="00E72FD3" w:rsidRDefault="00E72FD3" w:rsidP="00E72FD3">
            <w:r w:rsidRPr="006F1035">
              <w:t xml:space="preserve">Custodians must have the ability to manage access to the health information in their custody </w:t>
            </w:r>
            <w:r>
              <w:t>or</w:t>
            </w:r>
            <w:r w:rsidRPr="006F1035">
              <w:t xml:space="preserve"> under their control. </w:t>
            </w:r>
          </w:p>
          <w:p w:rsidR="000F2A6C" w:rsidRPr="006F1035" w:rsidRDefault="00E72FD3" w:rsidP="00E72FD3">
            <w:pPr>
              <w:pStyle w:val="Numbered"/>
              <w:numPr>
                <w:ilvl w:val="0"/>
                <w:numId w:val="33"/>
              </w:numPr>
            </w:pPr>
            <w:r>
              <w:t>HIA s</w:t>
            </w:r>
            <w:r w:rsidRPr="00C359CC">
              <w:t>ections 24, 28, 43, and 58(1)</w:t>
            </w:r>
          </w:p>
        </w:tc>
        <w:tc>
          <w:tcPr>
            <w:tcW w:w="4876" w:type="dxa"/>
          </w:tcPr>
          <w:p w:rsidR="00E72FD3" w:rsidRPr="006F1035" w:rsidRDefault="00E72FD3" w:rsidP="00E72FD3">
            <w:pPr>
              <w:pStyle w:val="ListParagraph"/>
              <w:numPr>
                <w:ilvl w:val="0"/>
                <w:numId w:val="33"/>
              </w:numPr>
              <w:spacing w:after="0"/>
              <w:contextualSpacing/>
            </w:pPr>
            <w:r w:rsidRPr="006F1035">
              <w:t xml:space="preserve">The system is able to provide an appropriate level of access for each user based on the </w:t>
            </w:r>
            <w:r>
              <w:t>classification</w:t>
            </w:r>
            <w:r w:rsidRPr="006F1035">
              <w:t xml:space="preserve"> of the inf</w:t>
            </w:r>
            <w:r w:rsidR="00CE50E7">
              <w:t>ormation and the user’s need-to-</w:t>
            </w:r>
            <w:r w:rsidRPr="006F1035">
              <w:t xml:space="preserve">know. </w:t>
            </w:r>
          </w:p>
          <w:p w:rsidR="00E72FD3" w:rsidRPr="006F1035" w:rsidRDefault="00E72FD3" w:rsidP="00E72FD3">
            <w:pPr>
              <w:pStyle w:val="ListParagraph"/>
              <w:numPr>
                <w:ilvl w:val="0"/>
                <w:numId w:val="33"/>
              </w:numPr>
              <w:spacing w:after="0"/>
              <w:contextualSpacing/>
            </w:pPr>
            <w:r w:rsidRPr="006F1035">
              <w:t xml:space="preserve">The system </w:t>
            </w:r>
            <w:r>
              <w:t>allows</w:t>
            </w:r>
            <w:r w:rsidRPr="006F1035">
              <w:t xml:space="preserve"> adding new users, modifying existing users, and promptly removing users who no longer require access.</w:t>
            </w:r>
          </w:p>
          <w:p w:rsidR="00E72FD3" w:rsidRPr="006F1035" w:rsidRDefault="00E72FD3" w:rsidP="00E72FD3">
            <w:pPr>
              <w:pStyle w:val="ListParagraph"/>
              <w:numPr>
                <w:ilvl w:val="0"/>
                <w:numId w:val="33"/>
              </w:numPr>
              <w:spacing w:after="0"/>
              <w:contextualSpacing/>
            </w:pPr>
            <w:r w:rsidRPr="006F1035">
              <w:t xml:space="preserve">The system has a timeout function that is a variable parameter and based on risk identified by the custodian. </w:t>
            </w:r>
          </w:p>
          <w:p w:rsidR="00E72FD3" w:rsidRDefault="00E72FD3" w:rsidP="00E72FD3">
            <w:pPr>
              <w:pStyle w:val="ListParagraph"/>
              <w:numPr>
                <w:ilvl w:val="0"/>
                <w:numId w:val="33"/>
              </w:numPr>
              <w:spacing w:after="0"/>
              <w:contextualSpacing/>
            </w:pPr>
            <w:r w:rsidRPr="006F1035">
              <w:t>The system is able to uniquely identify and authenticate each user prior to granting access to information.</w:t>
            </w:r>
          </w:p>
          <w:p w:rsidR="00E72FD3" w:rsidRDefault="00E72FD3" w:rsidP="00E72FD3">
            <w:pPr>
              <w:pStyle w:val="ListParagraph"/>
              <w:numPr>
                <w:ilvl w:val="0"/>
                <w:numId w:val="33"/>
              </w:numPr>
              <w:spacing w:after="0"/>
              <w:contextualSpacing/>
            </w:pPr>
            <w:r>
              <w:t>Remote users log into the system using two factor authentication.</w:t>
            </w:r>
          </w:p>
          <w:p w:rsidR="000F2A6C" w:rsidRPr="00202A40" w:rsidRDefault="00E72FD3" w:rsidP="00202A40">
            <w:pPr>
              <w:pStyle w:val="ListParagraph"/>
              <w:numPr>
                <w:ilvl w:val="0"/>
                <w:numId w:val="33"/>
              </w:numPr>
              <w:spacing w:after="0"/>
              <w:contextualSpacing/>
            </w:pPr>
            <w:r>
              <w:t>Remote users communicate with the system over an encrypted channel.</w:t>
            </w:r>
          </w:p>
        </w:tc>
        <w:tc>
          <w:tcPr>
            <w:tcW w:w="4876" w:type="dxa"/>
          </w:tcPr>
          <w:p w:rsidR="000F2A6C" w:rsidRPr="006F1035" w:rsidRDefault="00BE6B50" w:rsidP="00A71747">
            <w:pPr>
              <w:spacing w:after="0"/>
              <w:contextualSpacing/>
            </w:pPr>
            <w:r>
              <w:fldChar w:fldCharType="begin">
                <w:ffData>
                  <w:name w:val="Text19"/>
                  <w:enabled/>
                  <w:calcOnExit w:val="0"/>
                  <w:textInput/>
                </w:ffData>
              </w:fldChar>
            </w:r>
            <w:bookmarkStart w:id="27"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bl>
    <w:p w:rsidR="006A64EA" w:rsidRDefault="006A64EA" w:rsidP="00A44A6D"/>
    <w:p w:rsidR="006A64EA" w:rsidRDefault="006A64EA">
      <w:pPr>
        <w:spacing w:after="200" w:line="276" w:lineRule="auto"/>
        <w:rPr>
          <w:rFonts w:eastAsiaTheme="majorEastAsia" w:cstheme="majorBidi"/>
          <w:b/>
          <w:bCs/>
          <w:color w:val="81232C"/>
          <w:sz w:val="36"/>
          <w:szCs w:val="28"/>
        </w:rPr>
      </w:pPr>
      <w:r>
        <w:br w:type="page"/>
      </w:r>
    </w:p>
    <w:p w:rsidR="000F2A6C" w:rsidRPr="000F2A6C" w:rsidRDefault="000F2A6C" w:rsidP="00FA7BC1">
      <w:pPr>
        <w:pStyle w:val="Heading1"/>
        <w:rPr>
          <w:sz w:val="22"/>
        </w:rPr>
      </w:pPr>
      <w:bookmarkStart w:id="28" w:name="_Monitoring,_Audit_and"/>
      <w:bookmarkEnd w:id="28"/>
      <w:r>
        <w:lastRenderedPageBreak/>
        <w:t>Monitoring, Audit and Incident Response</w:t>
      </w:r>
    </w:p>
    <w:tbl>
      <w:tblPr>
        <w:tblW w:w="1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6"/>
        <w:gridCol w:w="4876"/>
        <w:gridCol w:w="4876"/>
      </w:tblGrid>
      <w:tr w:rsidR="000F2A6C" w:rsidRPr="006F1035" w:rsidTr="00673109">
        <w:tc>
          <w:tcPr>
            <w:tcW w:w="4876" w:type="dxa"/>
            <w:shd w:val="clear" w:color="auto" w:fill="007684"/>
          </w:tcPr>
          <w:p w:rsidR="000F2A6C" w:rsidRPr="00010C59" w:rsidRDefault="000F2A6C" w:rsidP="00A71747">
            <w:pPr>
              <w:pStyle w:val="Heading2"/>
              <w:spacing w:after="0"/>
              <w:rPr>
                <w:color w:val="FFFFFF" w:themeColor="background1"/>
              </w:rPr>
            </w:pPr>
            <w:r w:rsidRPr="00010C59">
              <w:rPr>
                <w:color w:val="FFFFFF" w:themeColor="background1"/>
              </w:rPr>
              <w:t xml:space="preserve">HIA Requirements </w:t>
            </w:r>
          </w:p>
        </w:tc>
        <w:tc>
          <w:tcPr>
            <w:tcW w:w="4876" w:type="dxa"/>
            <w:shd w:val="clear" w:color="auto" w:fill="007684"/>
          </w:tcPr>
          <w:p w:rsidR="000F2A6C" w:rsidRPr="00010C59" w:rsidRDefault="006573D7" w:rsidP="00A71747">
            <w:pPr>
              <w:spacing w:after="0"/>
              <w:contextualSpacing/>
              <w:rPr>
                <w:b/>
                <w:color w:val="FFFFFF" w:themeColor="background1"/>
              </w:rPr>
            </w:pPr>
            <w:r>
              <w:rPr>
                <w:b/>
                <w:color w:val="FFFFFF" w:themeColor="background1"/>
              </w:rPr>
              <w:t>Sample</w:t>
            </w:r>
            <w:r w:rsidR="000F2A6C" w:rsidRPr="00010C59">
              <w:rPr>
                <w:b/>
                <w:color w:val="FFFFFF" w:themeColor="background1"/>
              </w:rPr>
              <w:t xml:space="preserve"> Practices</w:t>
            </w:r>
          </w:p>
        </w:tc>
        <w:tc>
          <w:tcPr>
            <w:tcW w:w="4876" w:type="dxa"/>
            <w:shd w:val="clear" w:color="auto" w:fill="007684"/>
          </w:tcPr>
          <w:p w:rsidR="000F2A6C" w:rsidRPr="00010C59" w:rsidRDefault="000F2A6C" w:rsidP="00A71747">
            <w:pPr>
              <w:spacing w:after="0"/>
              <w:contextualSpacing/>
              <w:rPr>
                <w:b/>
                <w:color w:val="FFFFFF" w:themeColor="background1"/>
              </w:rPr>
            </w:pPr>
            <w:r>
              <w:rPr>
                <w:b/>
                <w:color w:val="FFFFFF" w:themeColor="background1"/>
              </w:rPr>
              <w:t>Describe How You Meet the Requirement</w:t>
            </w:r>
          </w:p>
        </w:tc>
      </w:tr>
      <w:tr w:rsidR="000F2A6C" w:rsidRPr="006F1035" w:rsidTr="00673109">
        <w:tc>
          <w:tcPr>
            <w:tcW w:w="4876" w:type="dxa"/>
          </w:tcPr>
          <w:p w:rsidR="00E72FD3" w:rsidRDefault="00E72FD3" w:rsidP="00CE50E7">
            <w:r>
              <w:t>C</w:t>
            </w:r>
            <w:r w:rsidRPr="006F1035">
              <w:t xml:space="preserve">ustodians </w:t>
            </w:r>
            <w:r>
              <w:t xml:space="preserve">must </w:t>
            </w:r>
            <w:r w:rsidRPr="006F1035">
              <w:t>protect the confidentiality of the health information in their custody or under their control against any reasonably anticipated threats to the security, integrity or loss of the health information</w:t>
            </w:r>
            <w:r w:rsidR="00CE50E7">
              <w:t>,</w:t>
            </w:r>
            <w:r w:rsidRPr="006F1035">
              <w:t xml:space="preserve"> as well as its unauthorized use, disclosure or modification. Custodians are required to ensure </w:t>
            </w:r>
            <w:r>
              <w:t>their</w:t>
            </w:r>
            <w:r w:rsidRPr="006F1035">
              <w:t xml:space="preserve"> </w:t>
            </w:r>
            <w:r w:rsidR="00202A40">
              <w:t>EHR</w:t>
            </w:r>
            <w:r w:rsidRPr="006F1035">
              <w:t xml:space="preserve"> system creates and maintains logs. Authorized custodians whose systems connect to Alberta Netcare must also meet </w:t>
            </w:r>
            <w:r w:rsidR="00CE50E7">
              <w:t>certain</w:t>
            </w:r>
            <w:r w:rsidRPr="006F1035">
              <w:t xml:space="preserve"> criteria. </w:t>
            </w:r>
            <w:r>
              <w:t>The system</w:t>
            </w:r>
            <w:r w:rsidRPr="006F1035">
              <w:t xml:space="preserve"> must be able to log user activity including all accesses to and actions taken by a user.</w:t>
            </w:r>
          </w:p>
          <w:p w:rsidR="00E72FD3" w:rsidRDefault="00E72FD3" w:rsidP="00E72FD3">
            <w:r>
              <w:t>Audit logs should r</w:t>
            </w:r>
            <w:r w:rsidR="003406B7">
              <w:t>ecord the following activities. F</w:t>
            </w:r>
            <w:r>
              <w:t xml:space="preserve">or systems considered part of the </w:t>
            </w:r>
            <w:r w:rsidRPr="00CE50E7">
              <w:t xml:space="preserve">Alberta </w:t>
            </w:r>
            <w:r w:rsidR="003406B7">
              <w:t>EHR (i.e. Alberta Netcare), these logs are mandatory</w:t>
            </w:r>
            <w:r>
              <w:t>:</w:t>
            </w:r>
          </w:p>
          <w:p w:rsidR="00E72FD3" w:rsidRDefault="00E72FD3" w:rsidP="00E72FD3">
            <w:pPr>
              <w:pStyle w:val="Numbered"/>
            </w:pPr>
            <w:r>
              <w:t>User identification and application identific</w:t>
            </w:r>
            <w:r w:rsidR="00CE50E7">
              <w:t>ation associated with an access.</w:t>
            </w:r>
          </w:p>
          <w:p w:rsidR="00E72FD3" w:rsidRDefault="00E72FD3" w:rsidP="00E72FD3">
            <w:pPr>
              <w:pStyle w:val="Numbered"/>
            </w:pPr>
            <w:r>
              <w:t>Name of user and appl</w:t>
            </w:r>
            <w:r w:rsidR="00CE50E7">
              <w:t>ication that performs an access.</w:t>
            </w:r>
          </w:p>
          <w:p w:rsidR="00E72FD3" w:rsidRDefault="00E72FD3" w:rsidP="00E72FD3">
            <w:pPr>
              <w:pStyle w:val="Numbered"/>
            </w:pPr>
            <w:r>
              <w:t>Role or job functions</w:t>
            </w:r>
            <w:r w:rsidR="00CE50E7">
              <w:t xml:space="preserve"> of user who performs an access.</w:t>
            </w:r>
          </w:p>
          <w:p w:rsidR="00E72FD3" w:rsidRDefault="00CE50E7" w:rsidP="00E72FD3">
            <w:pPr>
              <w:pStyle w:val="Numbered"/>
            </w:pPr>
            <w:r>
              <w:t>Date of an access.</w:t>
            </w:r>
          </w:p>
          <w:p w:rsidR="00E72FD3" w:rsidRDefault="00E72FD3" w:rsidP="00E72FD3">
            <w:pPr>
              <w:pStyle w:val="Numbered"/>
            </w:pPr>
            <w:r>
              <w:t>Time of</w:t>
            </w:r>
            <w:r w:rsidR="00CE50E7">
              <w:t xml:space="preserve"> an access.</w:t>
            </w:r>
          </w:p>
          <w:p w:rsidR="00E72FD3" w:rsidRDefault="00E72FD3" w:rsidP="00E72FD3">
            <w:pPr>
              <w:pStyle w:val="Numbered"/>
            </w:pPr>
            <w:r>
              <w:t>Actions performed by a user during an access, including, without limitation, creating, viewing, e</w:t>
            </w:r>
            <w:r w:rsidR="00CE50E7">
              <w:t>diting and deleting information.</w:t>
            </w:r>
          </w:p>
          <w:p w:rsidR="00E72FD3" w:rsidRDefault="00E72FD3" w:rsidP="00E72FD3">
            <w:pPr>
              <w:pStyle w:val="Numbered"/>
            </w:pPr>
            <w:r>
              <w:t xml:space="preserve">Name of facility or organization </w:t>
            </w:r>
            <w:r w:rsidR="00CE50E7">
              <w:t>at which an access is performed.</w:t>
            </w:r>
          </w:p>
          <w:p w:rsidR="00E72FD3" w:rsidRDefault="00E72FD3" w:rsidP="00E72FD3">
            <w:pPr>
              <w:pStyle w:val="Numbered"/>
            </w:pPr>
            <w:r>
              <w:t>Dis</w:t>
            </w:r>
            <w:r w:rsidR="00CE50E7">
              <w:t>play screen number or reference.</w:t>
            </w:r>
          </w:p>
          <w:p w:rsidR="00CE50E7" w:rsidRDefault="00E72FD3" w:rsidP="00CE50E7">
            <w:pPr>
              <w:pStyle w:val="Numbered"/>
            </w:pPr>
            <w:r>
              <w:t>Personal health number of the individual in respect of whom the access is performed</w:t>
            </w:r>
          </w:p>
          <w:p w:rsidR="00E72FD3" w:rsidRDefault="00CE50E7" w:rsidP="00CE50E7">
            <w:pPr>
              <w:pStyle w:val="Numbered"/>
              <w:spacing w:after="240"/>
            </w:pPr>
            <w:r>
              <w:t>O</w:t>
            </w:r>
            <w:r w:rsidR="00E72FD3">
              <w:t>ther information required by the Minister.</w:t>
            </w:r>
          </w:p>
          <w:p w:rsidR="00E72FD3" w:rsidRDefault="00E72FD3" w:rsidP="00E72FD3">
            <w:r w:rsidRPr="006F1035">
              <w:lastRenderedPageBreak/>
              <w:t>Custodians are also required to verify employees adhere to safeguards in place. Audit logging allows custodians to do this.</w:t>
            </w:r>
          </w:p>
          <w:p w:rsidR="00CE50E7" w:rsidRDefault="00E72FD3" w:rsidP="00CE50E7">
            <w:pPr>
              <w:pStyle w:val="Numbered"/>
            </w:pPr>
            <w:r>
              <w:t>HIA s</w:t>
            </w:r>
            <w:r w:rsidRPr="00C359CC">
              <w:t>ection</w:t>
            </w:r>
            <w:r w:rsidR="00CE50E7">
              <w:t xml:space="preserve"> 60</w:t>
            </w:r>
          </w:p>
          <w:p w:rsidR="00CE50E7" w:rsidRDefault="00E72FD3" w:rsidP="00CE50E7">
            <w:pPr>
              <w:pStyle w:val="Numbered"/>
            </w:pPr>
            <w:r w:rsidRPr="00E72FD3">
              <w:rPr>
                <w:i/>
              </w:rPr>
              <w:t xml:space="preserve">Alberta Electronic </w:t>
            </w:r>
            <w:r w:rsidR="00FE4FDB">
              <w:rPr>
                <w:i/>
              </w:rPr>
              <w:t>Health</w:t>
            </w:r>
            <w:r w:rsidRPr="00E72FD3">
              <w:rPr>
                <w:i/>
              </w:rPr>
              <w:t xml:space="preserve"> Record Regulation </w:t>
            </w:r>
            <w:r>
              <w:t>s</w:t>
            </w:r>
            <w:r w:rsidR="00CE50E7">
              <w:t>ection 6(1)</w:t>
            </w:r>
          </w:p>
          <w:p w:rsidR="000F2A6C" w:rsidRDefault="00E72FD3" w:rsidP="00E72FD3">
            <w:pPr>
              <w:pStyle w:val="Numbered"/>
              <w:spacing w:after="240"/>
            </w:pPr>
            <w:r w:rsidRPr="00E72FD3">
              <w:rPr>
                <w:i/>
              </w:rPr>
              <w:t>Health Information Regulation</w:t>
            </w:r>
            <w:r>
              <w:t xml:space="preserve"> s</w:t>
            </w:r>
            <w:r w:rsidRPr="00C359CC">
              <w:t>ection 8(6)</w:t>
            </w:r>
          </w:p>
          <w:p w:rsidR="00E72FD3" w:rsidRDefault="00E72FD3" w:rsidP="00E72FD3">
            <w:r>
              <w:t>Each c</w:t>
            </w:r>
            <w:r w:rsidRPr="006F1035">
              <w:t>ustodian must establish sanctions that may be imposed against affiliates who breach, or attempt to breach, the custodian’s administrative, technical and physical safeguards in respect of health information.</w:t>
            </w:r>
          </w:p>
          <w:p w:rsidR="00E72FD3" w:rsidRPr="006F1035" w:rsidRDefault="00E72FD3" w:rsidP="00E72FD3">
            <w:pPr>
              <w:pStyle w:val="Numbered"/>
            </w:pPr>
            <w:r w:rsidRPr="00E72FD3">
              <w:rPr>
                <w:i/>
              </w:rPr>
              <w:t>Health Information Regulation</w:t>
            </w:r>
            <w:r>
              <w:t xml:space="preserve"> section</w:t>
            </w:r>
            <w:r w:rsidRPr="00C359CC">
              <w:t xml:space="preserve"> 8(7)</w:t>
            </w:r>
          </w:p>
        </w:tc>
        <w:tc>
          <w:tcPr>
            <w:tcW w:w="4876" w:type="dxa"/>
          </w:tcPr>
          <w:p w:rsidR="00E72FD3" w:rsidRPr="006F1035" w:rsidRDefault="00E72FD3" w:rsidP="00E72FD3">
            <w:pPr>
              <w:pStyle w:val="Numbered"/>
            </w:pPr>
            <w:r w:rsidRPr="006F1035">
              <w:lastRenderedPageBreak/>
              <w:t xml:space="preserve">The system has audit logging functionality to verify the integrity of the system and to log and monitor access to health information. </w:t>
            </w:r>
          </w:p>
          <w:p w:rsidR="00E72FD3" w:rsidRPr="006F1035" w:rsidRDefault="00E72FD3" w:rsidP="00E72FD3">
            <w:pPr>
              <w:pStyle w:val="Numbered"/>
            </w:pPr>
            <w:r w:rsidRPr="006F1035">
              <w:t>The system generates logs to monitor user compliance and respond to access requests for logs.</w:t>
            </w:r>
          </w:p>
          <w:p w:rsidR="00E72FD3" w:rsidRPr="00E72FD3" w:rsidRDefault="00E72FD3" w:rsidP="00E72FD3">
            <w:pPr>
              <w:pStyle w:val="Numbered"/>
              <w:spacing w:after="240"/>
            </w:pPr>
            <w:r w:rsidRPr="006F1035">
              <w:t xml:space="preserve">Custodian knows how to retrieve and interpret </w:t>
            </w:r>
            <w:r>
              <w:t>audit</w:t>
            </w:r>
            <w:r w:rsidRPr="006F1035">
              <w:t xml:space="preserve"> logs.</w:t>
            </w:r>
          </w:p>
          <w:p w:rsidR="00E72FD3" w:rsidRPr="00CE50E7" w:rsidRDefault="00E72FD3" w:rsidP="00E72FD3">
            <w:r>
              <w:t xml:space="preserve">See </w:t>
            </w:r>
            <w:r w:rsidRPr="00E72FD3">
              <w:rPr>
                <w:i/>
              </w:rPr>
              <w:t>Access Controls and Privacy Accountability</w:t>
            </w:r>
            <w:r w:rsidR="00CE50E7">
              <w:t>.</w:t>
            </w:r>
          </w:p>
          <w:p w:rsidR="00E72FD3" w:rsidRPr="006F1035" w:rsidRDefault="00E72FD3" w:rsidP="00E72FD3">
            <w:pPr>
              <w:pStyle w:val="Numbered"/>
            </w:pPr>
            <w:r w:rsidRPr="006F1035">
              <w:t xml:space="preserve">Processes are </w:t>
            </w:r>
            <w:r w:rsidR="00CE50E7">
              <w:t xml:space="preserve">in </w:t>
            </w:r>
            <w:r w:rsidRPr="006F1035">
              <w:t xml:space="preserve">place for the management of privacy breaches and investigations of actual or attempted breaches. </w:t>
            </w:r>
          </w:p>
          <w:p w:rsidR="00E72FD3" w:rsidRPr="006F1035" w:rsidRDefault="00E72FD3" w:rsidP="00E72FD3">
            <w:pPr>
              <w:pStyle w:val="Numbered"/>
            </w:pPr>
            <w:r w:rsidRPr="006F1035">
              <w:t>Instances of noncompliance with privacy policies and procedures are documented and reported and, if needed, corrective and disciplinary measures are taken on a timely basis.</w:t>
            </w:r>
          </w:p>
          <w:p w:rsidR="00E72FD3" w:rsidRPr="00E72FD3" w:rsidRDefault="00E72FD3" w:rsidP="00202A40">
            <w:pPr>
              <w:pStyle w:val="Numbered"/>
              <w:spacing w:after="240"/>
            </w:pPr>
            <w:r>
              <w:t>The custodian periodically reviews a</w:t>
            </w:r>
            <w:r w:rsidRPr="006F1035">
              <w:t xml:space="preserve">udit logs to determine whether </w:t>
            </w:r>
            <w:r>
              <w:t xml:space="preserve">all </w:t>
            </w:r>
            <w:r w:rsidRPr="006F1035">
              <w:t>system activity is authorized.</w:t>
            </w:r>
          </w:p>
        </w:tc>
        <w:tc>
          <w:tcPr>
            <w:tcW w:w="4876" w:type="dxa"/>
          </w:tcPr>
          <w:p w:rsidR="000F2A6C" w:rsidRPr="006F1035" w:rsidRDefault="00BE6B50" w:rsidP="00A71747">
            <w:pPr>
              <w:spacing w:after="0"/>
              <w:contextualSpacing/>
            </w:pPr>
            <w:r>
              <w:fldChar w:fldCharType="begin">
                <w:ffData>
                  <w:name w:val="Text20"/>
                  <w:enabled/>
                  <w:calcOnExit w:val="0"/>
                  <w:textInput/>
                </w:ffData>
              </w:fldChar>
            </w:r>
            <w:bookmarkStart w:id="29"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bl>
    <w:p w:rsidR="000F2A6C" w:rsidRPr="000F2A6C" w:rsidRDefault="000F2A6C" w:rsidP="00FA7BC1">
      <w:pPr>
        <w:pStyle w:val="Heading1"/>
        <w:rPr>
          <w:sz w:val="22"/>
        </w:rPr>
      </w:pPr>
      <w:bookmarkStart w:id="30" w:name="_Business_Continuity"/>
      <w:bookmarkEnd w:id="30"/>
      <w:r>
        <w:lastRenderedPageBreak/>
        <w:t>Business Continuity</w:t>
      </w:r>
    </w:p>
    <w:tbl>
      <w:tblPr>
        <w:tblW w:w="1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6"/>
        <w:gridCol w:w="4876"/>
        <w:gridCol w:w="4876"/>
      </w:tblGrid>
      <w:tr w:rsidR="000F2A6C" w:rsidRPr="006F1035" w:rsidTr="00673109">
        <w:tc>
          <w:tcPr>
            <w:tcW w:w="4876" w:type="dxa"/>
            <w:shd w:val="clear" w:color="auto" w:fill="007684"/>
          </w:tcPr>
          <w:p w:rsidR="000F2A6C" w:rsidRPr="00010C59" w:rsidRDefault="000F2A6C" w:rsidP="00A71747">
            <w:pPr>
              <w:pStyle w:val="Heading2"/>
              <w:spacing w:after="0"/>
              <w:rPr>
                <w:color w:val="FFFFFF" w:themeColor="background1"/>
              </w:rPr>
            </w:pPr>
            <w:r w:rsidRPr="00010C59">
              <w:rPr>
                <w:color w:val="FFFFFF" w:themeColor="background1"/>
              </w:rPr>
              <w:t xml:space="preserve">HIA Requirements </w:t>
            </w:r>
          </w:p>
        </w:tc>
        <w:tc>
          <w:tcPr>
            <w:tcW w:w="4876" w:type="dxa"/>
            <w:shd w:val="clear" w:color="auto" w:fill="007684"/>
          </w:tcPr>
          <w:p w:rsidR="000F2A6C" w:rsidRPr="00010C59" w:rsidRDefault="006573D7" w:rsidP="00A71747">
            <w:pPr>
              <w:spacing w:after="0"/>
              <w:contextualSpacing/>
              <w:rPr>
                <w:b/>
                <w:color w:val="FFFFFF" w:themeColor="background1"/>
              </w:rPr>
            </w:pPr>
            <w:r>
              <w:rPr>
                <w:b/>
                <w:color w:val="FFFFFF" w:themeColor="background1"/>
              </w:rPr>
              <w:t>Sample</w:t>
            </w:r>
            <w:r w:rsidR="000F2A6C" w:rsidRPr="00010C59">
              <w:rPr>
                <w:b/>
                <w:color w:val="FFFFFF" w:themeColor="background1"/>
              </w:rPr>
              <w:t xml:space="preserve"> Practices</w:t>
            </w:r>
          </w:p>
        </w:tc>
        <w:tc>
          <w:tcPr>
            <w:tcW w:w="4876" w:type="dxa"/>
            <w:shd w:val="clear" w:color="auto" w:fill="007684"/>
          </w:tcPr>
          <w:p w:rsidR="000F2A6C" w:rsidRPr="00010C59" w:rsidRDefault="000F2A6C" w:rsidP="00A71747">
            <w:pPr>
              <w:spacing w:after="0"/>
              <w:contextualSpacing/>
              <w:rPr>
                <w:b/>
                <w:color w:val="FFFFFF" w:themeColor="background1"/>
              </w:rPr>
            </w:pPr>
            <w:r>
              <w:rPr>
                <w:b/>
                <w:color w:val="FFFFFF" w:themeColor="background1"/>
              </w:rPr>
              <w:t>Describe How You Meet the Requirement</w:t>
            </w:r>
          </w:p>
        </w:tc>
      </w:tr>
      <w:tr w:rsidR="000F2A6C" w:rsidRPr="006F1035" w:rsidTr="00673109">
        <w:tc>
          <w:tcPr>
            <w:tcW w:w="4876" w:type="dxa"/>
          </w:tcPr>
          <w:p w:rsidR="00E72FD3" w:rsidRDefault="00E72FD3" w:rsidP="00E72FD3">
            <w:r w:rsidRPr="006F1035">
              <w:t>Custodians must protect against reasonably anticipated threats to the security, integrity, or loss of health information.</w:t>
            </w:r>
          </w:p>
          <w:p w:rsidR="000F2A6C" w:rsidRPr="006F1035" w:rsidRDefault="00E72FD3" w:rsidP="00E72FD3">
            <w:pPr>
              <w:pStyle w:val="Numbered"/>
            </w:pPr>
            <w:r>
              <w:t>HIA s</w:t>
            </w:r>
            <w:r w:rsidRPr="00C359CC">
              <w:t>ection 60(1)(c)</w:t>
            </w:r>
          </w:p>
        </w:tc>
        <w:tc>
          <w:tcPr>
            <w:tcW w:w="4876" w:type="dxa"/>
          </w:tcPr>
          <w:p w:rsidR="00E72FD3" w:rsidRDefault="00CE50E7" w:rsidP="00E72FD3">
            <w:pPr>
              <w:pStyle w:val="Numbered"/>
            </w:pPr>
            <w:r>
              <w:t>Back</w:t>
            </w:r>
            <w:r w:rsidR="00E72FD3" w:rsidRPr="006F1035">
              <w:t xml:space="preserve">up </w:t>
            </w:r>
            <w:r w:rsidR="00E72FD3">
              <w:t xml:space="preserve">and restoration </w:t>
            </w:r>
            <w:r w:rsidR="00E72FD3" w:rsidRPr="006F1035">
              <w:t>procedures</w:t>
            </w:r>
            <w:r w:rsidR="00E72FD3">
              <w:t>,</w:t>
            </w:r>
            <w:r w:rsidR="00E72FD3" w:rsidRPr="006F1035">
              <w:t xml:space="preserve"> including the audit </w:t>
            </w:r>
            <w:r w:rsidR="00E72FD3">
              <w:t>log</w:t>
            </w:r>
            <w:r w:rsidR="00E72FD3" w:rsidRPr="006F1035">
              <w:t xml:space="preserve"> information</w:t>
            </w:r>
            <w:r w:rsidR="00E72FD3">
              <w:t>, are</w:t>
            </w:r>
            <w:r w:rsidR="00E72FD3" w:rsidRPr="006F1035">
              <w:t xml:space="preserve"> </w:t>
            </w:r>
            <w:r w:rsidR="00E72FD3">
              <w:t>available at an</w:t>
            </w:r>
            <w:r w:rsidR="00E72FD3" w:rsidRPr="006F1035">
              <w:t xml:space="preserve"> offsite</w:t>
            </w:r>
            <w:r w:rsidR="00E72FD3">
              <w:t xml:space="preserve"> location</w:t>
            </w:r>
            <w:r w:rsidR="00E72FD3" w:rsidRPr="006F1035">
              <w:t>. The system is able to archive records and maintain them in a permanently retrievable digital format. This is tested regularly.</w:t>
            </w:r>
          </w:p>
          <w:p w:rsidR="000F2A6C" w:rsidRPr="006F1035" w:rsidRDefault="00E72FD3" w:rsidP="00A71747">
            <w:pPr>
              <w:pStyle w:val="Numbered"/>
            </w:pPr>
            <w:r>
              <w:t xml:space="preserve">To respond to </w:t>
            </w:r>
            <w:r w:rsidRPr="005B0DA2">
              <w:t xml:space="preserve">a disaster or </w:t>
            </w:r>
            <w:r>
              <w:t xml:space="preserve">major service interruption, custodians should have a tested plan to resume </w:t>
            </w:r>
            <w:r w:rsidR="00202A40">
              <w:t>EHR</w:t>
            </w:r>
            <w:r>
              <w:t xml:space="preserve"> system operations within timeframes based on busines</w:t>
            </w:r>
            <w:r w:rsidR="00CE50E7">
              <w:t>s needs, professional standards</w:t>
            </w:r>
            <w:r>
              <w:t xml:space="preserve"> or regulatory requirements.</w:t>
            </w:r>
          </w:p>
        </w:tc>
        <w:tc>
          <w:tcPr>
            <w:tcW w:w="4876" w:type="dxa"/>
          </w:tcPr>
          <w:p w:rsidR="000F2A6C" w:rsidRPr="006F1035" w:rsidRDefault="00BE6B50" w:rsidP="00A71747">
            <w:pPr>
              <w:spacing w:after="0"/>
              <w:contextualSpacing/>
            </w:pPr>
            <w:r>
              <w:fldChar w:fldCharType="begin">
                <w:ffData>
                  <w:name w:val="Text21"/>
                  <w:enabled/>
                  <w:calcOnExit w:val="0"/>
                  <w:textInput/>
                </w:ffData>
              </w:fldChar>
            </w:r>
            <w:bookmarkStart w:id="31"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bl>
    <w:p w:rsidR="006A64EA" w:rsidRDefault="006A64EA" w:rsidP="00A44A6D"/>
    <w:p w:rsidR="006A64EA" w:rsidRDefault="006A64EA">
      <w:pPr>
        <w:spacing w:after="200" w:line="276" w:lineRule="auto"/>
        <w:rPr>
          <w:rFonts w:eastAsiaTheme="majorEastAsia" w:cstheme="majorBidi"/>
          <w:b/>
          <w:bCs/>
          <w:color w:val="81232C"/>
          <w:sz w:val="36"/>
          <w:szCs w:val="28"/>
        </w:rPr>
      </w:pPr>
      <w:r>
        <w:br w:type="page"/>
      </w:r>
    </w:p>
    <w:p w:rsidR="000F2A6C" w:rsidRPr="000F2A6C" w:rsidRDefault="000F2A6C" w:rsidP="00FA7BC1">
      <w:pPr>
        <w:pStyle w:val="Heading1"/>
        <w:rPr>
          <w:sz w:val="22"/>
        </w:rPr>
      </w:pPr>
      <w:r>
        <w:lastRenderedPageBreak/>
        <w:t>Change Control</w:t>
      </w:r>
    </w:p>
    <w:tbl>
      <w:tblPr>
        <w:tblW w:w="1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6"/>
        <w:gridCol w:w="4876"/>
        <w:gridCol w:w="4876"/>
      </w:tblGrid>
      <w:tr w:rsidR="000F2A6C" w:rsidRPr="006F1035" w:rsidTr="00673109">
        <w:tc>
          <w:tcPr>
            <w:tcW w:w="4876" w:type="dxa"/>
            <w:shd w:val="clear" w:color="auto" w:fill="007684"/>
          </w:tcPr>
          <w:p w:rsidR="000F2A6C" w:rsidRPr="00010C59" w:rsidRDefault="000F2A6C" w:rsidP="00A71747">
            <w:pPr>
              <w:pStyle w:val="Heading2"/>
              <w:spacing w:after="0"/>
              <w:rPr>
                <w:color w:val="FFFFFF" w:themeColor="background1"/>
              </w:rPr>
            </w:pPr>
            <w:r w:rsidRPr="00010C59">
              <w:rPr>
                <w:color w:val="FFFFFF" w:themeColor="background1"/>
              </w:rPr>
              <w:t xml:space="preserve">HIA Requirements </w:t>
            </w:r>
          </w:p>
        </w:tc>
        <w:tc>
          <w:tcPr>
            <w:tcW w:w="4876" w:type="dxa"/>
            <w:shd w:val="clear" w:color="auto" w:fill="007684"/>
          </w:tcPr>
          <w:p w:rsidR="000F2A6C" w:rsidRPr="00010C59" w:rsidRDefault="006573D7" w:rsidP="00A71747">
            <w:pPr>
              <w:spacing w:after="0"/>
              <w:contextualSpacing/>
              <w:rPr>
                <w:b/>
                <w:color w:val="FFFFFF" w:themeColor="background1"/>
              </w:rPr>
            </w:pPr>
            <w:r>
              <w:rPr>
                <w:b/>
                <w:color w:val="FFFFFF" w:themeColor="background1"/>
              </w:rPr>
              <w:t>Sample</w:t>
            </w:r>
            <w:r w:rsidR="000F2A6C" w:rsidRPr="00010C59">
              <w:rPr>
                <w:b/>
                <w:color w:val="FFFFFF" w:themeColor="background1"/>
              </w:rPr>
              <w:t xml:space="preserve"> Practices</w:t>
            </w:r>
          </w:p>
        </w:tc>
        <w:tc>
          <w:tcPr>
            <w:tcW w:w="4876" w:type="dxa"/>
            <w:shd w:val="clear" w:color="auto" w:fill="007684"/>
          </w:tcPr>
          <w:p w:rsidR="000F2A6C" w:rsidRPr="00010C59" w:rsidRDefault="000F2A6C" w:rsidP="00A71747">
            <w:pPr>
              <w:spacing w:after="0"/>
              <w:contextualSpacing/>
              <w:rPr>
                <w:b/>
                <w:color w:val="FFFFFF" w:themeColor="background1"/>
              </w:rPr>
            </w:pPr>
            <w:r>
              <w:rPr>
                <w:b/>
                <w:color w:val="FFFFFF" w:themeColor="background1"/>
              </w:rPr>
              <w:t>Describe How You Meet the Requirement</w:t>
            </w:r>
          </w:p>
        </w:tc>
      </w:tr>
      <w:tr w:rsidR="000F2A6C" w:rsidRPr="006F1035" w:rsidTr="00673109">
        <w:tc>
          <w:tcPr>
            <w:tcW w:w="4876" w:type="dxa"/>
          </w:tcPr>
          <w:p w:rsidR="00E72FD3" w:rsidRPr="006F1035" w:rsidRDefault="00CB49BE" w:rsidP="00E72FD3">
            <w:r>
              <w:t>C</w:t>
            </w:r>
            <w:r w:rsidR="00E72FD3" w:rsidRPr="006F1035">
              <w:t>ustodians</w:t>
            </w:r>
            <w:r>
              <w:t xml:space="preserve"> or information managers</w:t>
            </w:r>
            <w:r w:rsidR="00E72FD3" w:rsidRPr="006F1035">
              <w:t xml:space="preserve"> may make changes to the system </w:t>
            </w:r>
            <w:r>
              <w:t>application or other components</w:t>
            </w:r>
            <w:r w:rsidR="00E72FD3" w:rsidRPr="006F1035">
              <w:t xml:space="preserve"> </w:t>
            </w:r>
            <w:r>
              <w:t>(</w:t>
            </w:r>
            <w:r w:rsidR="00E72FD3" w:rsidRPr="006F1035">
              <w:t xml:space="preserve">e.g. the database, operating system, </w:t>
            </w:r>
            <w:r w:rsidR="00353604" w:rsidRPr="006F1035">
              <w:t>and network</w:t>
            </w:r>
            <w:r w:rsidR="00E72FD3" w:rsidRPr="006F1035">
              <w:t xml:space="preserve"> or access directory</w:t>
            </w:r>
            <w:r>
              <w:t>)</w:t>
            </w:r>
            <w:r w:rsidR="00E72FD3" w:rsidRPr="006F1035">
              <w:t>. The</w:t>
            </w:r>
            <w:r w:rsidR="00E72FD3">
              <w:t xml:space="preserve"> custodian</w:t>
            </w:r>
            <w:r>
              <w:t xml:space="preserve"> or information manager</w:t>
            </w:r>
            <w:r w:rsidR="00E72FD3" w:rsidRPr="006F1035">
              <w:t xml:space="preserve"> must demonstrate that the impacts of a change have been identified and steps taken to address them. </w:t>
            </w:r>
          </w:p>
          <w:p w:rsidR="00E72FD3" w:rsidRDefault="00E72FD3" w:rsidP="00E72FD3">
            <w:r>
              <w:t>C</w:t>
            </w:r>
            <w:r w:rsidRPr="006F1035">
              <w:t xml:space="preserve">ustodians </w:t>
            </w:r>
            <w:r>
              <w:t xml:space="preserve">must </w:t>
            </w:r>
            <w:r w:rsidRPr="006F1035">
              <w:t>take steps to protect against “reasonably anticipated” threats.  Uncontrolled system changes can introduce threats to the security, confidentiality and integrity of health information.  Change control allows custodians to test changes before implementation.  This is a reasonable step to identify and mitigate privacy threats introduced though system changes.</w:t>
            </w:r>
          </w:p>
          <w:p w:rsidR="000F2A6C" w:rsidRPr="006F1035" w:rsidRDefault="00E72FD3" w:rsidP="00E72FD3">
            <w:pPr>
              <w:pStyle w:val="Numbered"/>
            </w:pPr>
            <w:r>
              <w:t>HIA s</w:t>
            </w:r>
            <w:r w:rsidRPr="00C359CC">
              <w:t>ection 60</w:t>
            </w:r>
          </w:p>
        </w:tc>
        <w:tc>
          <w:tcPr>
            <w:tcW w:w="4876" w:type="dxa"/>
          </w:tcPr>
          <w:p w:rsidR="00E72FD3" w:rsidRPr="006F1035" w:rsidRDefault="00E72FD3" w:rsidP="00E72FD3">
            <w:pPr>
              <w:pStyle w:val="Numbered"/>
            </w:pPr>
            <w:r w:rsidRPr="006F1035">
              <w:t>The information manager has documented change management processes in place for upgrades to the hardware and software of the system</w:t>
            </w:r>
            <w:r>
              <w:t xml:space="preserve"> and a process to inform custodians about changes</w:t>
            </w:r>
            <w:r w:rsidRPr="006F1035">
              <w:t>.</w:t>
            </w:r>
          </w:p>
          <w:p w:rsidR="003406B7" w:rsidRDefault="00E72FD3" w:rsidP="003406B7">
            <w:pPr>
              <w:pStyle w:val="Numbered"/>
            </w:pPr>
            <w:r w:rsidRPr="006F1035">
              <w:t>The custodian has documented change management processes in place.</w:t>
            </w:r>
          </w:p>
          <w:p w:rsidR="000F2A6C" w:rsidRPr="006F1035" w:rsidRDefault="00E72FD3" w:rsidP="003406B7">
            <w:pPr>
              <w:pStyle w:val="Numbered"/>
              <w:spacing w:after="240"/>
            </w:pPr>
            <w:r w:rsidRPr="006F1035">
              <w:t>System changes are tested and approved and the change can be “rolled back” without loss of health information or of the integrity of the health information</w:t>
            </w:r>
            <w:r w:rsidR="00CB49BE">
              <w:t>,</w:t>
            </w:r>
            <w:r w:rsidRPr="006F1035">
              <w:t xml:space="preserve"> including </w:t>
            </w:r>
            <w:r>
              <w:t xml:space="preserve">audit </w:t>
            </w:r>
            <w:r w:rsidRPr="006F1035">
              <w:t>logs</w:t>
            </w:r>
            <w:r>
              <w:t>.</w:t>
            </w:r>
            <w:r w:rsidRPr="006F1035">
              <w:t xml:space="preserve"> </w:t>
            </w:r>
            <w:r>
              <w:t xml:space="preserve">The system can be </w:t>
            </w:r>
            <w:r w:rsidRPr="006F1035">
              <w:t>restore</w:t>
            </w:r>
            <w:r>
              <w:t>d</w:t>
            </w:r>
            <w:r w:rsidRPr="006F1035">
              <w:t xml:space="preserve"> to a point prior to a failed upgrade. </w:t>
            </w:r>
          </w:p>
        </w:tc>
        <w:tc>
          <w:tcPr>
            <w:tcW w:w="4876" w:type="dxa"/>
          </w:tcPr>
          <w:p w:rsidR="000F2A6C" w:rsidRPr="006F1035" w:rsidRDefault="00BE6B50" w:rsidP="00A71747">
            <w:pPr>
              <w:spacing w:after="0"/>
              <w:contextualSpacing/>
            </w:pPr>
            <w:r>
              <w:fldChar w:fldCharType="begin">
                <w:ffData>
                  <w:name w:val="Text22"/>
                  <w:enabled/>
                  <w:calcOnExit w:val="0"/>
                  <w:textInput/>
                </w:ffData>
              </w:fldChar>
            </w:r>
            <w:bookmarkStart w:id="32"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bl>
    <w:p w:rsidR="00EB60F4" w:rsidRDefault="00EB60F4" w:rsidP="00C90795">
      <w:pPr>
        <w:rPr>
          <w:b/>
        </w:rPr>
      </w:pPr>
    </w:p>
    <w:p w:rsidR="00EB60F4" w:rsidRDefault="00EB60F4">
      <w:pPr>
        <w:spacing w:after="200" w:line="276" w:lineRule="auto"/>
        <w:rPr>
          <w:b/>
        </w:rPr>
      </w:pPr>
      <w:r>
        <w:rPr>
          <w:b/>
        </w:rPr>
        <w:br w:type="page"/>
      </w:r>
    </w:p>
    <w:p w:rsidR="00EB60F4" w:rsidRPr="006F1035" w:rsidRDefault="00EB60F4" w:rsidP="00FA7BC1">
      <w:pPr>
        <w:pStyle w:val="Heading1"/>
      </w:pPr>
      <w:r w:rsidRPr="006F1035">
        <w:lastRenderedPageBreak/>
        <w:t>Glossary</w:t>
      </w:r>
      <w:r w:rsidR="00CC1063">
        <w:t xml:space="preserve"> of Terms</w:t>
      </w:r>
    </w:p>
    <w:p w:rsidR="00EB60F4" w:rsidRPr="006F1035" w:rsidRDefault="00CC1063" w:rsidP="00BF5897">
      <w:pPr>
        <w:spacing w:after="180"/>
      </w:pPr>
      <w:r>
        <w:rPr>
          <w:b/>
        </w:rPr>
        <w:t xml:space="preserve">Electronic </w:t>
      </w:r>
      <w:r w:rsidR="00FE4FDB">
        <w:rPr>
          <w:b/>
        </w:rPr>
        <w:t>Health</w:t>
      </w:r>
      <w:r w:rsidR="00EB60F4">
        <w:rPr>
          <w:b/>
        </w:rPr>
        <w:t xml:space="preserve"> </w:t>
      </w:r>
      <w:r>
        <w:rPr>
          <w:b/>
        </w:rPr>
        <w:t>R</w:t>
      </w:r>
      <w:r w:rsidR="00EB60F4">
        <w:rPr>
          <w:b/>
        </w:rPr>
        <w:t>ecord</w:t>
      </w:r>
      <w:r w:rsidR="00EB60F4" w:rsidRPr="006F1035">
        <w:rPr>
          <w:b/>
        </w:rPr>
        <w:t xml:space="preserve"> Information System</w:t>
      </w:r>
      <w:r>
        <w:t>:</w:t>
      </w:r>
      <w:r w:rsidR="00EB60F4" w:rsidRPr="006F1035">
        <w:t xml:space="preserve"> </w:t>
      </w:r>
      <w:r>
        <w:t>D</w:t>
      </w:r>
      <w:r w:rsidR="00EB60F4" w:rsidRPr="006F1035">
        <w:t xml:space="preserve">efined in the </w:t>
      </w:r>
      <w:r w:rsidR="00EB60F4" w:rsidRPr="006F1035">
        <w:rPr>
          <w:i/>
        </w:rPr>
        <w:t xml:space="preserve">Alberta </w:t>
      </w:r>
      <w:r w:rsidR="00EB60F4">
        <w:rPr>
          <w:i/>
        </w:rPr>
        <w:t xml:space="preserve">Electronic </w:t>
      </w:r>
      <w:r w:rsidR="00FE4FDB">
        <w:rPr>
          <w:i/>
        </w:rPr>
        <w:t xml:space="preserve">Health </w:t>
      </w:r>
      <w:r w:rsidR="00CB49BE">
        <w:rPr>
          <w:i/>
        </w:rPr>
        <w:t>R</w:t>
      </w:r>
      <w:r w:rsidR="00EB60F4">
        <w:rPr>
          <w:i/>
        </w:rPr>
        <w:t>ecord</w:t>
      </w:r>
      <w:r w:rsidR="00EB60F4" w:rsidRPr="006F1035">
        <w:rPr>
          <w:i/>
        </w:rPr>
        <w:t xml:space="preserve"> Regulation</w:t>
      </w:r>
      <w:r w:rsidR="00EB60F4" w:rsidRPr="006F1035">
        <w:t>, section 1(b)</w:t>
      </w:r>
      <w:r>
        <w:t>,</w:t>
      </w:r>
      <w:r w:rsidR="00EB60F4" w:rsidRPr="006F1035">
        <w:t xml:space="preserve"> as “… the system used by an authorized custodian to collect, use and disclose health information about an individual.”</w:t>
      </w:r>
    </w:p>
    <w:p w:rsidR="00EB60F4" w:rsidRPr="006F1035" w:rsidRDefault="00CC1063" w:rsidP="00BF5897">
      <w:pPr>
        <w:spacing w:after="180"/>
      </w:pPr>
      <w:r>
        <w:rPr>
          <w:b/>
        </w:rPr>
        <w:t xml:space="preserve">Electronic </w:t>
      </w:r>
      <w:r w:rsidR="00FE4FDB">
        <w:rPr>
          <w:b/>
        </w:rPr>
        <w:t>Health</w:t>
      </w:r>
      <w:r w:rsidR="00EB60F4">
        <w:rPr>
          <w:b/>
        </w:rPr>
        <w:t xml:space="preserve"> </w:t>
      </w:r>
      <w:r>
        <w:rPr>
          <w:b/>
        </w:rPr>
        <w:t>R</w:t>
      </w:r>
      <w:r w:rsidR="00EB60F4">
        <w:rPr>
          <w:b/>
        </w:rPr>
        <w:t>ecord</w:t>
      </w:r>
      <w:r w:rsidR="00EB60F4" w:rsidRPr="006F1035">
        <w:rPr>
          <w:b/>
        </w:rPr>
        <w:t>s</w:t>
      </w:r>
      <w:r>
        <w:rPr>
          <w:b/>
        </w:rPr>
        <w:t>:</w:t>
      </w:r>
      <w:r w:rsidR="00EB60F4" w:rsidRPr="006F1035">
        <w:t xml:space="preserve"> </w:t>
      </w:r>
      <w:r>
        <w:t>D</w:t>
      </w:r>
      <w:r w:rsidR="00EB60F4" w:rsidRPr="006F1035">
        <w:t xml:space="preserve">efined in </w:t>
      </w:r>
      <w:r w:rsidR="00CB49BE">
        <w:t>HIA</w:t>
      </w:r>
      <w:r w:rsidR="00EB60F4" w:rsidRPr="006F1035">
        <w:t>, section 60(3)</w:t>
      </w:r>
      <w:r>
        <w:t>,</w:t>
      </w:r>
      <w:r w:rsidR="00EB60F4" w:rsidRPr="006F1035">
        <w:t xml:space="preserve"> as “records of health information in electronic form.”</w:t>
      </w:r>
    </w:p>
    <w:p w:rsidR="00EB60F4" w:rsidRPr="006F1035" w:rsidRDefault="00EB60F4" w:rsidP="00BF5897">
      <w:pPr>
        <w:spacing w:after="180"/>
      </w:pPr>
      <w:r w:rsidRPr="006F1035">
        <w:rPr>
          <w:b/>
        </w:rPr>
        <w:t>Information Manager</w:t>
      </w:r>
      <w:r w:rsidR="00CC1063">
        <w:rPr>
          <w:b/>
        </w:rPr>
        <w:t xml:space="preserve">: </w:t>
      </w:r>
      <w:r w:rsidR="00CC1063" w:rsidRPr="00CC1063">
        <w:t>D</w:t>
      </w:r>
      <w:r w:rsidRPr="006F1035">
        <w:t>efined in section</w:t>
      </w:r>
      <w:r w:rsidR="00CC1063">
        <w:t xml:space="preserve"> 66(1) of HIA as a person or</w:t>
      </w:r>
      <w:r w:rsidRPr="006F1035">
        <w:t xml:space="preserve"> body that</w:t>
      </w:r>
      <w:r w:rsidR="00CC1063">
        <w:t>:</w:t>
      </w:r>
    </w:p>
    <w:p w:rsidR="00EB60F4" w:rsidRPr="00CB49BE" w:rsidRDefault="00EB60F4" w:rsidP="00CB49BE">
      <w:pPr>
        <w:pStyle w:val="Numbered"/>
        <w:numPr>
          <w:ilvl w:val="0"/>
          <w:numId w:val="36"/>
        </w:numPr>
        <w:rPr>
          <w:sz w:val="20"/>
        </w:rPr>
      </w:pPr>
      <w:r w:rsidRPr="00CB49BE">
        <w:rPr>
          <w:sz w:val="20"/>
        </w:rPr>
        <w:t>processes, stores, retrieves or disposes of health information,</w:t>
      </w:r>
    </w:p>
    <w:p w:rsidR="00EB60F4" w:rsidRPr="00CB49BE" w:rsidRDefault="00EB60F4" w:rsidP="00CB49BE">
      <w:pPr>
        <w:pStyle w:val="Numbered"/>
        <w:numPr>
          <w:ilvl w:val="0"/>
          <w:numId w:val="36"/>
        </w:numPr>
        <w:rPr>
          <w:sz w:val="20"/>
        </w:rPr>
      </w:pPr>
      <w:r w:rsidRPr="00CB49BE">
        <w:rPr>
          <w:sz w:val="20"/>
        </w:rPr>
        <w:t>in accordance with the regulations, strips, encodes or otherwise transforms individually identifying health information, or</w:t>
      </w:r>
    </w:p>
    <w:p w:rsidR="00EB60F4" w:rsidRPr="00CB49BE" w:rsidRDefault="00EB60F4" w:rsidP="00BF5897">
      <w:pPr>
        <w:pStyle w:val="Numbered"/>
        <w:numPr>
          <w:ilvl w:val="0"/>
          <w:numId w:val="36"/>
        </w:numPr>
        <w:spacing w:after="180"/>
        <w:rPr>
          <w:sz w:val="20"/>
        </w:rPr>
      </w:pPr>
      <w:r w:rsidRPr="00CB49BE">
        <w:rPr>
          <w:sz w:val="20"/>
        </w:rPr>
        <w:t>provides information management or information technology services.</w:t>
      </w:r>
    </w:p>
    <w:p w:rsidR="00EB60F4" w:rsidRPr="006F1035" w:rsidRDefault="00EB60F4" w:rsidP="00BF5897">
      <w:pPr>
        <w:spacing w:after="180"/>
      </w:pPr>
      <w:r w:rsidRPr="006F1035">
        <w:rPr>
          <w:b/>
        </w:rPr>
        <w:t>Information Manager Agreement</w:t>
      </w:r>
      <w:r w:rsidR="00CC1063">
        <w:rPr>
          <w:b/>
        </w:rPr>
        <w:t>:</w:t>
      </w:r>
      <w:r w:rsidRPr="006F1035">
        <w:t xml:space="preserve"> </w:t>
      </w:r>
      <w:r w:rsidR="00CC1063">
        <w:t>A</w:t>
      </w:r>
      <w:r w:rsidRPr="006F1035">
        <w:t xml:space="preserve"> mandatory agreement between a custodian and an information manager that describes the relationship between the parties. It must include all of the requirements set out in section 7.2 of the </w:t>
      </w:r>
      <w:r w:rsidRPr="006F1035">
        <w:rPr>
          <w:i/>
        </w:rPr>
        <w:t>Health Information Regulation</w:t>
      </w:r>
      <w:r w:rsidRPr="006F1035">
        <w:t xml:space="preserve"> and must be signed by a custodian with authority to do so. An information manager agreement signed </w:t>
      </w:r>
      <w:r>
        <w:t>between</w:t>
      </w:r>
      <w:r w:rsidRPr="006F1035">
        <w:t xml:space="preserve"> the information manager a</w:t>
      </w:r>
      <w:r>
        <w:t>nd</w:t>
      </w:r>
      <w:r w:rsidRPr="006F1035">
        <w:t xml:space="preserve"> </w:t>
      </w:r>
      <w:r w:rsidR="00CC1063">
        <w:t>a pers</w:t>
      </w:r>
      <w:r>
        <w:t xml:space="preserve">on who is not a </w:t>
      </w:r>
      <w:r w:rsidRPr="006F1035">
        <w:t xml:space="preserve">custodian </w:t>
      </w:r>
      <w:r>
        <w:t xml:space="preserve">does </w:t>
      </w:r>
      <w:r w:rsidRPr="006F1035">
        <w:t xml:space="preserve">not </w:t>
      </w:r>
      <w:r>
        <w:t xml:space="preserve">meet the </w:t>
      </w:r>
      <w:r w:rsidR="00CC1063">
        <w:t>legislated requirements</w:t>
      </w:r>
      <w:r w:rsidRPr="006F1035">
        <w:t>.</w:t>
      </w:r>
    </w:p>
    <w:p w:rsidR="00EB60F4" w:rsidRPr="006F1035" w:rsidRDefault="00EB60F4" w:rsidP="00BF5897">
      <w:pPr>
        <w:spacing w:after="180"/>
      </w:pPr>
      <w:r w:rsidRPr="006F1035">
        <w:rPr>
          <w:b/>
        </w:rPr>
        <w:t>Privacy Impact Assessment</w:t>
      </w:r>
      <w:r w:rsidRPr="00CC1063">
        <w:rPr>
          <w:b/>
        </w:rPr>
        <w:t xml:space="preserve"> (PIA)</w:t>
      </w:r>
      <w:r w:rsidR="00CC1063">
        <w:rPr>
          <w:b/>
        </w:rPr>
        <w:t>:</w:t>
      </w:r>
      <w:r w:rsidRPr="006F1035">
        <w:t xml:space="preserve"> </w:t>
      </w:r>
      <w:r w:rsidR="00CC1063">
        <w:t>A</w:t>
      </w:r>
      <w:r w:rsidR="00CC1063" w:rsidRPr="00CC1063">
        <w:t xml:space="preserve"> due diligence exercise in which privacy risks that may occur in the course of operations are identified and addressed. Custodians must prepare a PIA and submit it to the OIPC for review and comment before implementing any proposed new administrative practice or information system that involves the collection, use or disclosure of health information. PIAs are required under section 64 of HIA.  </w:t>
      </w:r>
    </w:p>
    <w:p w:rsidR="00BF5897" w:rsidRDefault="00BF5897" w:rsidP="00BF5897">
      <w:pPr>
        <w:spacing w:after="180"/>
      </w:pPr>
      <w:r>
        <w:rPr>
          <w:b/>
        </w:rPr>
        <w:t xml:space="preserve">Provincial Organizational Readiness Assessment (pORA): </w:t>
      </w:r>
      <w:r w:rsidRPr="0038382E">
        <w:t xml:space="preserve">Refers to the security assessment criteria set by Alberta Health, as required under section 3(1)(c) of the </w:t>
      </w:r>
      <w:r w:rsidRPr="0038382E">
        <w:rPr>
          <w:i/>
        </w:rPr>
        <w:t>Alberta Electronic Health Record Regulation</w:t>
      </w:r>
      <w:r>
        <w:t xml:space="preserve">. </w:t>
      </w:r>
      <w:r w:rsidRPr="0038382E">
        <w:t>Completing a pORA is a pre-requisite to obtaining access to Alberta Netcare</w:t>
      </w:r>
      <w:r>
        <w:t>, the provincial Electronic Health Record</w:t>
      </w:r>
      <w:r w:rsidRPr="0038382E">
        <w:t>.</w:t>
      </w:r>
    </w:p>
    <w:p w:rsidR="00EB60F4" w:rsidRDefault="00EB60F4" w:rsidP="00BF5897">
      <w:pPr>
        <w:spacing w:after="180"/>
      </w:pPr>
      <w:r w:rsidRPr="006F1035">
        <w:rPr>
          <w:b/>
        </w:rPr>
        <w:t>Risk Assessment</w:t>
      </w:r>
      <w:r w:rsidR="00CC1063">
        <w:rPr>
          <w:b/>
        </w:rPr>
        <w:t>:</w:t>
      </w:r>
      <w:r w:rsidRPr="006F1035">
        <w:t xml:space="preserve"> </w:t>
      </w:r>
      <w:r w:rsidR="00CC1063">
        <w:t>R</w:t>
      </w:r>
      <w:r w:rsidRPr="006F1035">
        <w:t xml:space="preserve">efers to the process of determining </w:t>
      </w:r>
      <w:r>
        <w:t xml:space="preserve">potential vulnerabilities in a given system or initiative. The vulnerabilities are then classified by the risk of harm that may occur as the result of the vulnerability. Similar to a PIA it should also include measures for mitigating </w:t>
      </w:r>
      <w:r w:rsidR="00CB49BE">
        <w:t xml:space="preserve">the </w:t>
      </w:r>
      <w:r>
        <w:t>risk.</w:t>
      </w:r>
    </w:p>
    <w:p w:rsidR="00EB60F4" w:rsidRPr="006F1035" w:rsidRDefault="00EB60F4" w:rsidP="00BF5897">
      <w:pPr>
        <w:spacing w:after="180"/>
      </w:pPr>
      <w:r w:rsidRPr="006F1035">
        <w:rPr>
          <w:b/>
        </w:rPr>
        <w:t>System</w:t>
      </w:r>
      <w:r w:rsidR="00CC1063">
        <w:rPr>
          <w:b/>
        </w:rPr>
        <w:t>:</w:t>
      </w:r>
      <w:r w:rsidRPr="006F1035">
        <w:t xml:space="preserve"> </w:t>
      </w:r>
      <w:r w:rsidR="00CC1063">
        <w:t>R</w:t>
      </w:r>
      <w:r w:rsidRPr="006F1035">
        <w:t>efers to “</w:t>
      </w:r>
      <w:r>
        <w:t xml:space="preserve">electronic </w:t>
      </w:r>
      <w:r w:rsidR="00FE4FDB">
        <w:t>health</w:t>
      </w:r>
      <w:r>
        <w:t xml:space="preserve"> record</w:t>
      </w:r>
      <w:r w:rsidRPr="006F1035">
        <w:t>s” and “</w:t>
      </w:r>
      <w:r>
        <w:t xml:space="preserve">electronic </w:t>
      </w:r>
      <w:r w:rsidR="00FE4FDB">
        <w:t>health</w:t>
      </w:r>
      <w:r>
        <w:t xml:space="preserve"> record</w:t>
      </w:r>
      <w:r w:rsidRPr="006F1035">
        <w:t xml:space="preserve">s information system” as these terms are defined in </w:t>
      </w:r>
      <w:r w:rsidR="00CB49BE">
        <w:t>HIA</w:t>
      </w:r>
      <w:r w:rsidRPr="006F1035">
        <w:t xml:space="preserve">.  Also refers to an “information system” as described in section 64 of </w:t>
      </w:r>
      <w:r w:rsidR="00CC1063">
        <w:t>HIA</w:t>
      </w:r>
      <w:r w:rsidRPr="006F1035">
        <w:t xml:space="preserve"> regarding </w:t>
      </w:r>
      <w:r w:rsidR="00CB49BE">
        <w:t>PIAs</w:t>
      </w:r>
      <w:r w:rsidRPr="006F1035">
        <w:t>.</w:t>
      </w:r>
    </w:p>
    <w:p w:rsidR="00CC1063" w:rsidRPr="006F1035" w:rsidRDefault="0003781F" w:rsidP="00FA7BC1">
      <w:pPr>
        <w:pStyle w:val="Heading1"/>
      </w:pPr>
      <w:r>
        <w:t>More I</w:t>
      </w:r>
      <w:r w:rsidR="00BF5897">
        <w:t>nformation</w:t>
      </w:r>
    </w:p>
    <w:p w:rsidR="00CC1063" w:rsidRPr="006F1035" w:rsidRDefault="00CC1063" w:rsidP="00BF5897">
      <w:pPr>
        <w:spacing w:after="180"/>
      </w:pPr>
      <w:r w:rsidRPr="006F1035">
        <w:t xml:space="preserve">You can find more information on this topic and the </w:t>
      </w:r>
      <w:hyperlink r:id="rId11" w:history="1">
        <w:r w:rsidRPr="00CC1063">
          <w:rPr>
            <w:rStyle w:val="Hyperlink"/>
            <w:i/>
            <w:color w:val="007684"/>
          </w:rPr>
          <w:t>Privacy Impact Assessment Requirements</w:t>
        </w:r>
      </w:hyperlink>
      <w:r w:rsidRPr="00CC1063">
        <w:rPr>
          <w:color w:val="007684"/>
        </w:rPr>
        <w:t xml:space="preserve"> </w:t>
      </w:r>
      <w:r>
        <w:t xml:space="preserve">guide </w:t>
      </w:r>
      <w:r w:rsidRPr="006F1035">
        <w:t xml:space="preserve">at </w:t>
      </w:r>
      <w:hyperlink r:id="rId12" w:history="1">
        <w:r w:rsidRPr="00CC1063">
          <w:rPr>
            <w:rStyle w:val="Hyperlink"/>
            <w:color w:val="007684"/>
          </w:rPr>
          <w:t>www.oipc.ab.ca</w:t>
        </w:r>
      </w:hyperlink>
      <w:r w:rsidRPr="006F1035">
        <w:t>.</w:t>
      </w:r>
    </w:p>
    <w:p w:rsidR="00CC1063" w:rsidRPr="006F1035" w:rsidRDefault="00CC1063" w:rsidP="00BF5897">
      <w:pPr>
        <w:spacing w:after="180"/>
      </w:pPr>
      <w:r w:rsidRPr="006F1035">
        <w:t xml:space="preserve">This document is also compatible with </w:t>
      </w:r>
      <w:hyperlink r:id="rId13" w:history="1">
        <w:r w:rsidRPr="0003781F">
          <w:rPr>
            <w:rStyle w:val="Hyperlink"/>
            <w:i/>
            <w:color w:val="007684"/>
          </w:rPr>
          <w:t>Getting Accountability Right with a Privacy Management Program</w:t>
        </w:r>
      </w:hyperlink>
      <w:r w:rsidRPr="006F1035">
        <w:t xml:space="preserve"> developed </w:t>
      </w:r>
      <w:r w:rsidR="0003781F">
        <w:t>in partnership with the Office of the Privacy Commissioner of Canada and Office of the Information and Privacy Commissioner for British Columbia.</w:t>
      </w:r>
    </w:p>
    <w:p w:rsidR="00010C59" w:rsidRDefault="00CC1063" w:rsidP="00BF5897">
      <w:pPr>
        <w:spacing w:after="180"/>
        <w:rPr>
          <w:b/>
        </w:rPr>
      </w:pPr>
      <w:r w:rsidRPr="006F1035">
        <w:t xml:space="preserve">This document was developed </w:t>
      </w:r>
      <w:r>
        <w:t>with</w:t>
      </w:r>
      <w:r w:rsidRPr="006F1035">
        <w:t xml:space="preserve"> considera</w:t>
      </w:r>
      <w:r>
        <w:t>tion of the following standards: ISO 27001, t</w:t>
      </w:r>
      <w:r w:rsidRPr="006F1035">
        <w:t>he American Institute of P</w:t>
      </w:r>
      <w:r>
        <w:t xml:space="preserve">rofessional Accountants (AICPA), </w:t>
      </w:r>
      <w:r w:rsidRPr="006F1035">
        <w:t>Chartered Professional Accountants (CICA), and Generally Accepted Privacy Principles (GAPP 2009)</w:t>
      </w:r>
      <w:r>
        <w:t>.</w:t>
      </w:r>
    </w:p>
    <w:sectPr w:rsidR="00010C59" w:rsidSect="00251151">
      <w:headerReference w:type="even" r:id="rId14"/>
      <w:headerReference w:type="default" r:id="rId15"/>
      <w:footerReference w:type="even" r:id="rId16"/>
      <w:footerReference w:type="default" r:id="rId17"/>
      <w:headerReference w:type="first" r:id="rId18"/>
      <w:footerReference w:type="first" r:id="rId19"/>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747" w:rsidRDefault="00A71747" w:rsidP="00C90795">
      <w:pPr>
        <w:spacing w:after="0"/>
      </w:pPr>
      <w:r>
        <w:separator/>
      </w:r>
    </w:p>
  </w:endnote>
  <w:endnote w:type="continuationSeparator" w:id="0">
    <w:p w:rsidR="00A71747" w:rsidRDefault="00A71747" w:rsidP="00C907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hitney-Semibold">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285" w:rsidRDefault="00B912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747" w:rsidRPr="00BE2586" w:rsidRDefault="00BE2586" w:rsidP="00B91285">
    <w:pPr>
      <w:pStyle w:val="Footer"/>
      <w:tabs>
        <w:tab w:val="clear" w:pos="9360"/>
        <w:tab w:val="right" w:pos="14317"/>
      </w:tabs>
      <w:rPr>
        <w:sz w:val="20"/>
        <w:szCs w:val="20"/>
      </w:rPr>
    </w:pPr>
    <w:r w:rsidRPr="00BE2586">
      <w:rPr>
        <w:sz w:val="20"/>
        <w:szCs w:val="20"/>
      </w:rPr>
      <w:t>June 2016</w:t>
    </w:r>
    <w:sdt>
      <w:sdtPr>
        <w:rPr>
          <w:sz w:val="20"/>
          <w:szCs w:val="20"/>
        </w:rPr>
        <w:id w:val="977417883"/>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sdtContent>
            <w:r>
              <w:rPr>
                <w:sz w:val="20"/>
                <w:szCs w:val="20"/>
              </w:rPr>
              <w:tab/>
            </w:r>
            <w:r>
              <w:rPr>
                <w:sz w:val="20"/>
                <w:szCs w:val="20"/>
              </w:rPr>
              <w:tab/>
            </w:r>
            <w:r w:rsidR="00A71747" w:rsidRPr="00BE2586">
              <w:rPr>
                <w:sz w:val="20"/>
                <w:szCs w:val="20"/>
              </w:rPr>
              <w:t xml:space="preserve">Page </w:t>
            </w:r>
            <w:r w:rsidR="00A71747" w:rsidRPr="00BE2586">
              <w:rPr>
                <w:bCs/>
                <w:sz w:val="20"/>
                <w:szCs w:val="20"/>
              </w:rPr>
              <w:fldChar w:fldCharType="begin"/>
            </w:r>
            <w:r w:rsidR="00A71747" w:rsidRPr="00BE2586">
              <w:rPr>
                <w:bCs/>
                <w:sz w:val="20"/>
                <w:szCs w:val="20"/>
              </w:rPr>
              <w:instrText xml:space="preserve"> PAGE </w:instrText>
            </w:r>
            <w:r w:rsidR="00A71747" w:rsidRPr="00BE2586">
              <w:rPr>
                <w:bCs/>
                <w:sz w:val="20"/>
                <w:szCs w:val="20"/>
              </w:rPr>
              <w:fldChar w:fldCharType="separate"/>
            </w:r>
            <w:r w:rsidR="00940594">
              <w:rPr>
                <w:bCs/>
                <w:noProof/>
                <w:sz w:val="20"/>
                <w:szCs w:val="20"/>
              </w:rPr>
              <w:t>2</w:t>
            </w:r>
            <w:r w:rsidR="00A71747" w:rsidRPr="00BE2586">
              <w:rPr>
                <w:bCs/>
                <w:sz w:val="20"/>
                <w:szCs w:val="20"/>
              </w:rPr>
              <w:fldChar w:fldCharType="end"/>
            </w:r>
            <w:r w:rsidR="00A71747" w:rsidRPr="00BE2586">
              <w:rPr>
                <w:sz w:val="20"/>
                <w:szCs w:val="20"/>
              </w:rPr>
              <w:t xml:space="preserve"> of </w:t>
            </w:r>
            <w:r w:rsidR="00A71747" w:rsidRPr="00BE2586">
              <w:rPr>
                <w:bCs/>
                <w:sz w:val="20"/>
                <w:szCs w:val="20"/>
              </w:rPr>
              <w:fldChar w:fldCharType="begin"/>
            </w:r>
            <w:r w:rsidR="00A71747" w:rsidRPr="00BE2586">
              <w:rPr>
                <w:bCs/>
                <w:sz w:val="20"/>
                <w:szCs w:val="20"/>
              </w:rPr>
              <w:instrText xml:space="preserve"> NUMPAGES  </w:instrText>
            </w:r>
            <w:r w:rsidR="00A71747" w:rsidRPr="00BE2586">
              <w:rPr>
                <w:bCs/>
                <w:sz w:val="20"/>
                <w:szCs w:val="20"/>
              </w:rPr>
              <w:fldChar w:fldCharType="separate"/>
            </w:r>
            <w:r w:rsidR="00940594">
              <w:rPr>
                <w:bCs/>
                <w:noProof/>
                <w:sz w:val="20"/>
                <w:szCs w:val="20"/>
              </w:rPr>
              <w:t>16</w:t>
            </w:r>
            <w:r w:rsidR="00A71747" w:rsidRPr="00BE2586">
              <w:rPr>
                <w:bCs/>
                <w:sz w:val="20"/>
                <w:szCs w:val="20"/>
              </w:rPr>
              <w:fldChar w:fldCharType="end"/>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285" w:rsidRDefault="00B912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747" w:rsidRDefault="00A71747" w:rsidP="00C90795">
      <w:pPr>
        <w:spacing w:after="0"/>
      </w:pPr>
      <w:r>
        <w:separator/>
      </w:r>
    </w:p>
  </w:footnote>
  <w:footnote w:type="continuationSeparator" w:id="0">
    <w:p w:rsidR="00A71747" w:rsidRDefault="00A71747" w:rsidP="00C9079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285" w:rsidRDefault="00B912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747" w:rsidRDefault="00A717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285" w:rsidRDefault="00B912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ED"/>
    <w:multiLevelType w:val="hybridMultilevel"/>
    <w:tmpl w:val="8B34DE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2E24810"/>
    <w:multiLevelType w:val="hybridMultilevel"/>
    <w:tmpl w:val="0D64087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07311FBF"/>
    <w:multiLevelType w:val="hybridMultilevel"/>
    <w:tmpl w:val="18F48F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DA362E0"/>
    <w:multiLevelType w:val="hybridMultilevel"/>
    <w:tmpl w:val="D04A20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F69748C"/>
    <w:multiLevelType w:val="hybridMultilevel"/>
    <w:tmpl w:val="D772C6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FEB5AA1"/>
    <w:multiLevelType w:val="hybridMultilevel"/>
    <w:tmpl w:val="D3A04A80"/>
    <w:lvl w:ilvl="0" w:tplc="5D560BD0">
      <w:start w:val="1"/>
      <w:numFmt w:val="decimal"/>
      <w:pStyle w:val="NumberedParagraphs"/>
      <w:lvlText w:val="[%1]"/>
      <w:lvlJc w:val="left"/>
      <w:pPr>
        <w:ind w:left="5747" w:hanging="360"/>
      </w:pPr>
      <w:rPr>
        <w:rFonts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7041EE9"/>
    <w:multiLevelType w:val="hybridMultilevel"/>
    <w:tmpl w:val="D9D42712"/>
    <w:lvl w:ilvl="0" w:tplc="226CD88E">
      <w:start w:val="1"/>
      <w:numFmt w:val="decimal"/>
      <w:pStyle w:val="ListParagraph"/>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F913BAE"/>
    <w:multiLevelType w:val="hybridMultilevel"/>
    <w:tmpl w:val="259C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EE701B5"/>
    <w:multiLevelType w:val="hybridMultilevel"/>
    <w:tmpl w:val="717619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2F9A5A5C"/>
    <w:multiLevelType w:val="hybridMultilevel"/>
    <w:tmpl w:val="8DEAC5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FF879B0"/>
    <w:multiLevelType w:val="hybridMultilevel"/>
    <w:tmpl w:val="382093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0416FCC"/>
    <w:multiLevelType w:val="hybridMultilevel"/>
    <w:tmpl w:val="69B018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3B323FDC"/>
    <w:multiLevelType w:val="hybridMultilevel"/>
    <w:tmpl w:val="F7D6961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CB065F1"/>
    <w:multiLevelType w:val="hybridMultilevel"/>
    <w:tmpl w:val="28A8307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3CFF41D8"/>
    <w:multiLevelType w:val="hybridMultilevel"/>
    <w:tmpl w:val="8806D1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D260B57"/>
    <w:multiLevelType w:val="hybridMultilevel"/>
    <w:tmpl w:val="918AF8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362436C"/>
    <w:multiLevelType w:val="hybridMultilevel"/>
    <w:tmpl w:val="03CC05E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nsid w:val="46085994"/>
    <w:multiLevelType w:val="hybridMultilevel"/>
    <w:tmpl w:val="A970DE4E"/>
    <w:lvl w:ilvl="0" w:tplc="F5A8F8BE">
      <w:start w:val="1"/>
      <w:numFmt w:val="bullet"/>
      <w:pStyle w:val="Numbered"/>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8C85C91"/>
    <w:multiLevelType w:val="hybridMultilevel"/>
    <w:tmpl w:val="BD6084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F1D5263"/>
    <w:multiLevelType w:val="hybridMultilevel"/>
    <w:tmpl w:val="C1AEB8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464522D"/>
    <w:multiLevelType w:val="hybridMultilevel"/>
    <w:tmpl w:val="87288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EAC3470"/>
    <w:multiLevelType w:val="hybridMultilevel"/>
    <w:tmpl w:val="C69E12CA"/>
    <w:lvl w:ilvl="0" w:tplc="A1C21B58">
      <w:start w:val="1"/>
      <w:numFmt w:val="lowerLetter"/>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B8D561D"/>
    <w:multiLevelType w:val="hybridMultilevel"/>
    <w:tmpl w:val="D18EB4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0BA682F"/>
    <w:multiLevelType w:val="hybridMultilevel"/>
    <w:tmpl w:val="4AA623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1D82EC4"/>
    <w:multiLevelType w:val="hybridMultilevel"/>
    <w:tmpl w:val="84FAEC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73EB55F9"/>
    <w:multiLevelType w:val="hybridMultilevel"/>
    <w:tmpl w:val="F344FC86"/>
    <w:lvl w:ilvl="0" w:tplc="D2744CA0">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6">
    <w:nsid w:val="77473486"/>
    <w:multiLevelType w:val="hybridMultilevel"/>
    <w:tmpl w:val="6B367E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A7367FE"/>
    <w:multiLevelType w:val="hybridMultilevel"/>
    <w:tmpl w:val="B51ECF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7B023CD8"/>
    <w:multiLevelType w:val="hybridMultilevel"/>
    <w:tmpl w:val="BFF2314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7CFE6479"/>
    <w:multiLevelType w:val="hybridMultilevel"/>
    <w:tmpl w:val="7E0E6A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7D767A11"/>
    <w:multiLevelType w:val="hybridMultilevel"/>
    <w:tmpl w:val="8390A0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7"/>
  </w:num>
  <w:num w:numId="4">
    <w:abstractNumId w:val="5"/>
  </w:num>
  <w:num w:numId="5">
    <w:abstractNumId w:val="6"/>
  </w:num>
  <w:num w:numId="6">
    <w:abstractNumId w:val="17"/>
  </w:num>
  <w:num w:numId="7">
    <w:abstractNumId w:val="5"/>
  </w:num>
  <w:num w:numId="8">
    <w:abstractNumId w:val="6"/>
  </w:num>
  <w:num w:numId="9">
    <w:abstractNumId w:val="8"/>
  </w:num>
  <w:num w:numId="10">
    <w:abstractNumId w:val="30"/>
  </w:num>
  <w:num w:numId="11">
    <w:abstractNumId w:val="24"/>
  </w:num>
  <w:num w:numId="12">
    <w:abstractNumId w:val="16"/>
  </w:num>
  <w:num w:numId="13">
    <w:abstractNumId w:val="27"/>
  </w:num>
  <w:num w:numId="14">
    <w:abstractNumId w:val="22"/>
  </w:num>
  <w:num w:numId="15">
    <w:abstractNumId w:val="9"/>
  </w:num>
  <w:num w:numId="16">
    <w:abstractNumId w:val="15"/>
  </w:num>
  <w:num w:numId="17">
    <w:abstractNumId w:val="1"/>
  </w:num>
  <w:num w:numId="18">
    <w:abstractNumId w:val="20"/>
  </w:num>
  <w:num w:numId="19">
    <w:abstractNumId w:val="28"/>
  </w:num>
  <w:num w:numId="20">
    <w:abstractNumId w:val="19"/>
  </w:num>
  <w:num w:numId="21">
    <w:abstractNumId w:val="23"/>
  </w:num>
  <w:num w:numId="22">
    <w:abstractNumId w:val="4"/>
  </w:num>
  <w:num w:numId="23">
    <w:abstractNumId w:val="26"/>
  </w:num>
  <w:num w:numId="24">
    <w:abstractNumId w:val="2"/>
  </w:num>
  <w:num w:numId="25">
    <w:abstractNumId w:val="14"/>
  </w:num>
  <w:num w:numId="26">
    <w:abstractNumId w:val="18"/>
  </w:num>
  <w:num w:numId="27">
    <w:abstractNumId w:val="12"/>
  </w:num>
  <w:num w:numId="28">
    <w:abstractNumId w:val="10"/>
  </w:num>
  <w:num w:numId="29">
    <w:abstractNumId w:val="3"/>
  </w:num>
  <w:num w:numId="30">
    <w:abstractNumId w:val="29"/>
  </w:num>
  <w:num w:numId="31">
    <w:abstractNumId w:val="0"/>
  </w:num>
  <w:num w:numId="32">
    <w:abstractNumId w:val="11"/>
  </w:num>
  <w:num w:numId="33">
    <w:abstractNumId w:val="7"/>
  </w:num>
  <w:num w:numId="34">
    <w:abstractNumId w:val="13"/>
  </w:num>
  <w:num w:numId="35">
    <w:abstractNumId w:val="25"/>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ocumentProtection w:edit="forms" w:enforcement="1" w:cryptProviderType="rsaFull" w:cryptAlgorithmClass="hash" w:cryptAlgorithmType="typeAny" w:cryptAlgorithmSid="4" w:cryptSpinCount="100000" w:hash="9Eu9m3YTS9P7PbFjy5ev2N1nxSY=" w:salt="zdPoG3dNmConIk4a1dKW7A=="/>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795"/>
    <w:rsid w:val="00010C59"/>
    <w:rsid w:val="0003781F"/>
    <w:rsid w:val="000C736A"/>
    <w:rsid w:val="000F2A6C"/>
    <w:rsid w:val="00154101"/>
    <w:rsid w:val="00202A40"/>
    <w:rsid w:val="002107B7"/>
    <w:rsid w:val="00212AA9"/>
    <w:rsid w:val="00225ED8"/>
    <w:rsid w:val="00251151"/>
    <w:rsid w:val="002D11C7"/>
    <w:rsid w:val="00307D2F"/>
    <w:rsid w:val="003406B7"/>
    <w:rsid w:val="00353604"/>
    <w:rsid w:val="003A7BE3"/>
    <w:rsid w:val="003D792F"/>
    <w:rsid w:val="003F6E1F"/>
    <w:rsid w:val="00410FDF"/>
    <w:rsid w:val="0041724D"/>
    <w:rsid w:val="00437ABA"/>
    <w:rsid w:val="00471F42"/>
    <w:rsid w:val="005375EF"/>
    <w:rsid w:val="00545F92"/>
    <w:rsid w:val="00596B23"/>
    <w:rsid w:val="005F40F5"/>
    <w:rsid w:val="006573D7"/>
    <w:rsid w:val="00673109"/>
    <w:rsid w:val="006A4BE8"/>
    <w:rsid w:val="006A64EA"/>
    <w:rsid w:val="006D485F"/>
    <w:rsid w:val="007E28FD"/>
    <w:rsid w:val="00910FFB"/>
    <w:rsid w:val="00940594"/>
    <w:rsid w:val="009766F1"/>
    <w:rsid w:val="00996326"/>
    <w:rsid w:val="009C5DB5"/>
    <w:rsid w:val="009D04C3"/>
    <w:rsid w:val="00A44A6D"/>
    <w:rsid w:val="00A465D9"/>
    <w:rsid w:val="00A71747"/>
    <w:rsid w:val="00A925BC"/>
    <w:rsid w:val="00AE1C28"/>
    <w:rsid w:val="00B328C2"/>
    <w:rsid w:val="00B743B0"/>
    <w:rsid w:val="00B91285"/>
    <w:rsid w:val="00BE2586"/>
    <w:rsid w:val="00BE6B50"/>
    <w:rsid w:val="00BF5897"/>
    <w:rsid w:val="00C12DA1"/>
    <w:rsid w:val="00C9029E"/>
    <w:rsid w:val="00C90795"/>
    <w:rsid w:val="00CB49BE"/>
    <w:rsid w:val="00CC1063"/>
    <w:rsid w:val="00CD3F80"/>
    <w:rsid w:val="00CE50E7"/>
    <w:rsid w:val="00DA2493"/>
    <w:rsid w:val="00DE4E27"/>
    <w:rsid w:val="00E72FD3"/>
    <w:rsid w:val="00EB60F4"/>
    <w:rsid w:val="00ED6A0D"/>
    <w:rsid w:val="00EE13FB"/>
    <w:rsid w:val="00EE67CC"/>
    <w:rsid w:val="00F26D91"/>
    <w:rsid w:val="00F31337"/>
    <w:rsid w:val="00F46065"/>
    <w:rsid w:val="00F47436"/>
    <w:rsid w:val="00FA7BC1"/>
    <w:rsid w:val="00FE4F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493"/>
    <w:pPr>
      <w:spacing w:after="220" w:line="240" w:lineRule="auto"/>
    </w:pPr>
  </w:style>
  <w:style w:type="paragraph" w:styleId="Heading1">
    <w:name w:val="heading 1"/>
    <w:basedOn w:val="Normal"/>
    <w:next w:val="Normal"/>
    <w:link w:val="Heading1Char"/>
    <w:autoRedefine/>
    <w:uiPriority w:val="9"/>
    <w:qFormat/>
    <w:rsid w:val="00FA7BC1"/>
    <w:pPr>
      <w:keepNext/>
      <w:keepLines/>
      <w:spacing w:before="120" w:after="120"/>
      <w:outlineLvl w:val="0"/>
    </w:pPr>
    <w:rPr>
      <w:rFonts w:eastAsiaTheme="majorEastAsia" w:cstheme="majorBidi"/>
      <w:b/>
      <w:bCs/>
      <w:color w:val="81232C"/>
      <w:sz w:val="36"/>
      <w:szCs w:val="28"/>
    </w:rPr>
  </w:style>
  <w:style w:type="paragraph" w:styleId="Heading2">
    <w:name w:val="heading 2"/>
    <w:basedOn w:val="Normal"/>
    <w:next w:val="Normal"/>
    <w:link w:val="Heading2Char"/>
    <w:uiPriority w:val="9"/>
    <w:unhideWhenUsed/>
    <w:qFormat/>
    <w:rsid w:val="00DA2493"/>
    <w:pPr>
      <w:keepNext/>
      <w:keepLines/>
      <w:outlineLvl w:val="1"/>
    </w:pPr>
    <w:rPr>
      <w:rFonts w:eastAsiaTheme="majorEastAsia" w:cstheme="majorBidi"/>
      <w:b/>
      <w:bCs/>
      <w:color w:val="732117" w:themeColor="accent2" w:themeShade="BF"/>
    </w:rPr>
  </w:style>
  <w:style w:type="paragraph" w:styleId="Heading3">
    <w:name w:val="heading 3"/>
    <w:basedOn w:val="Normal"/>
    <w:next w:val="Normal"/>
    <w:link w:val="Heading3Char"/>
    <w:uiPriority w:val="9"/>
    <w:unhideWhenUsed/>
    <w:qFormat/>
    <w:rsid w:val="00DA2493"/>
    <w:pPr>
      <w:keepNext/>
      <w:keepLines/>
      <w:spacing w:before="200" w:after="0"/>
      <w:outlineLvl w:val="2"/>
    </w:pPr>
    <w:rPr>
      <w:rFonts w:asciiTheme="majorHAnsi" w:eastAsiaTheme="majorEastAsia" w:hAnsiTheme="majorHAnsi" w:cstheme="majorBidi"/>
      <w:b/>
      <w:bCs/>
      <w:color w:val="D3481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Paragraphs">
    <w:name w:val="Numbered Paragraphs"/>
    <w:basedOn w:val="NoSpacing"/>
    <w:link w:val="NumberedParagraphsChar"/>
    <w:qFormat/>
    <w:rsid w:val="00DA2493"/>
    <w:pPr>
      <w:numPr>
        <w:numId w:val="1"/>
      </w:numPr>
      <w:spacing w:after="240"/>
      <w:ind w:left="1077" w:hanging="720"/>
    </w:pPr>
  </w:style>
  <w:style w:type="character" w:customStyle="1" w:styleId="NumberedParagraphsChar">
    <w:name w:val="Numbered Paragraphs Char"/>
    <w:basedOn w:val="NoSpacingChar"/>
    <w:link w:val="NumberedParagraphs"/>
    <w:rsid w:val="00DA2493"/>
    <w:rPr>
      <w:lang w:val="en-US"/>
    </w:rPr>
  </w:style>
  <w:style w:type="paragraph" w:styleId="NoSpacing">
    <w:name w:val="No Spacing"/>
    <w:link w:val="NoSpacingChar"/>
    <w:uiPriority w:val="1"/>
    <w:qFormat/>
    <w:rsid w:val="00DA2493"/>
    <w:pPr>
      <w:spacing w:after="0" w:line="240" w:lineRule="auto"/>
    </w:pPr>
    <w:rPr>
      <w:lang w:val="en-US"/>
    </w:rPr>
  </w:style>
  <w:style w:type="paragraph" w:customStyle="1" w:styleId="Numbered">
    <w:name w:val="Numbered"/>
    <w:basedOn w:val="ListParagraph"/>
    <w:link w:val="NumberedChar"/>
    <w:qFormat/>
    <w:rsid w:val="00010C59"/>
    <w:pPr>
      <w:numPr>
        <w:numId w:val="6"/>
      </w:numPr>
      <w:spacing w:after="0"/>
      <w:ind w:left="357" w:hanging="357"/>
    </w:pPr>
  </w:style>
  <w:style w:type="character" w:customStyle="1" w:styleId="NumberedChar">
    <w:name w:val="Numbered Char"/>
    <w:basedOn w:val="ListParagraphChar"/>
    <w:link w:val="Numbered"/>
    <w:rsid w:val="00010C59"/>
    <w:rPr>
      <w:lang w:val="en-US"/>
    </w:rPr>
  </w:style>
  <w:style w:type="paragraph" w:styleId="ListParagraph">
    <w:name w:val="List Paragraph"/>
    <w:basedOn w:val="Normal"/>
    <w:link w:val="ListParagraphChar"/>
    <w:uiPriority w:val="99"/>
    <w:qFormat/>
    <w:rsid w:val="00DA2493"/>
    <w:pPr>
      <w:numPr>
        <w:numId w:val="2"/>
      </w:numPr>
      <w:ind w:left="1434" w:hanging="357"/>
    </w:pPr>
    <w:rPr>
      <w:lang w:val="en-US"/>
    </w:rPr>
  </w:style>
  <w:style w:type="character" w:customStyle="1" w:styleId="Heading1Char">
    <w:name w:val="Heading 1 Char"/>
    <w:basedOn w:val="DefaultParagraphFont"/>
    <w:link w:val="Heading1"/>
    <w:uiPriority w:val="9"/>
    <w:rsid w:val="00FA7BC1"/>
    <w:rPr>
      <w:rFonts w:eastAsiaTheme="majorEastAsia" w:cstheme="majorBidi"/>
      <w:b/>
      <w:bCs/>
      <w:color w:val="81232C"/>
      <w:sz w:val="36"/>
      <w:szCs w:val="28"/>
    </w:rPr>
  </w:style>
  <w:style w:type="character" w:customStyle="1" w:styleId="Heading2Char">
    <w:name w:val="Heading 2 Char"/>
    <w:basedOn w:val="DefaultParagraphFont"/>
    <w:link w:val="Heading2"/>
    <w:uiPriority w:val="9"/>
    <w:rsid w:val="00DA2493"/>
    <w:rPr>
      <w:rFonts w:eastAsiaTheme="majorEastAsia" w:cstheme="majorBidi"/>
      <w:b/>
      <w:bCs/>
      <w:color w:val="732117" w:themeColor="accent2" w:themeShade="BF"/>
    </w:rPr>
  </w:style>
  <w:style w:type="character" w:customStyle="1" w:styleId="Heading3Char">
    <w:name w:val="Heading 3 Char"/>
    <w:basedOn w:val="DefaultParagraphFont"/>
    <w:link w:val="Heading3"/>
    <w:uiPriority w:val="9"/>
    <w:rsid w:val="00DA2493"/>
    <w:rPr>
      <w:rFonts w:asciiTheme="majorHAnsi" w:eastAsiaTheme="majorEastAsia" w:hAnsiTheme="majorHAnsi" w:cstheme="majorBidi"/>
      <w:b/>
      <w:bCs/>
      <w:color w:val="D34817" w:themeColor="accent1"/>
    </w:rPr>
  </w:style>
  <w:style w:type="paragraph" w:styleId="Subtitle">
    <w:name w:val="Subtitle"/>
    <w:basedOn w:val="Normal"/>
    <w:next w:val="Normal"/>
    <w:link w:val="SubtitleChar"/>
    <w:uiPriority w:val="11"/>
    <w:qFormat/>
    <w:rsid w:val="00DA2493"/>
    <w:pPr>
      <w:numPr>
        <w:ilvl w:val="1"/>
      </w:numPr>
      <w:spacing w:after="200" w:line="276" w:lineRule="auto"/>
    </w:pPr>
    <w:rPr>
      <w:rFonts w:asciiTheme="majorHAnsi" w:eastAsiaTheme="majorEastAsia" w:hAnsiTheme="majorHAnsi" w:cstheme="majorBidi"/>
      <w:i/>
      <w:iCs/>
      <w:color w:val="D34817" w:themeColor="accent1"/>
      <w:spacing w:val="15"/>
      <w:sz w:val="24"/>
      <w:szCs w:val="24"/>
    </w:rPr>
  </w:style>
  <w:style w:type="character" w:customStyle="1" w:styleId="SubtitleChar">
    <w:name w:val="Subtitle Char"/>
    <w:basedOn w:val="DefaultParagraphFont"/>
    <w:link w:val="Subtitle"/>
    <w:uiPriority w:val="11"/>
    <w:rsid w:val="00DA2493"/>
    <w:rPr>
      <w:rFonts w:asciiTheme="majorHAnsi" w:eastAsiaTheme="majorEastAsia" w:hAnsiTheme="majorHAnsi" w:cstheme="majorBidi"/>
      <w:i/>
      <w:iCs/>
      <w:color w:val="D34817" w:themeColor="accent1"/>
      <w:spacing w:val="15"/>
      <w:sz w:val="24"/>
      <w:szCs w:val="24"/>
    </w:rPr>
  </w:style>
  <w:style w:type="character" w:customStyle="1" w:styleId="NoSpacingChar">
    <w:name w:val="No Spacing Char"/>
    <w:basedOn w:val="DefaultParagraphFont"/>
    <w:link w:val="NoSpacing"/>
    <w:uiPriority w:val="1"/>
    <w:rsid w:val="00DA2493"/>
    <w:rPr>
      <w:lang w:val="en-US"/>
    </w:rPr>
  </w:style>
  <w:style w:type="character" w:customStyle="1" w:styleId="ListParagraphChar">
    <w:name w:val="List Paragraph Char"/>
    <w:basedOn w:val="DefaultParagraphFont"/>
    <w:link w:val="ListParagraph"/>
    <w:uiPriority w:val="34"/>
    <w:rsid w:val="00DA2493"/>
    <w:rPr>
      <w:lang w:val="en-US"/>
    </w:rPr>
  </w:style>
  <w:style w:type="paragraph" w:styleId="Quote">
    <w:name w:val="Quote"/>
    <w:basedOn w:val="Normal"/>
    <w:next w:val="Normal"/>
    <w:link w:val="QuoteChar"/>
    <w:uiPriority w:val="29"/>
    <w:qFormat/>
    <w:rsid w:val="00DA2493"/>
    <w:pPr>
      <w:spacing w:after="240"/>
      <w:ind w:left="1435"/>
    </w:pPr>
    <w:rPr>
      <w:rFonts w:cs="Arial"/>
      <w:sz w:val="20"/>
      <w:szCs w:val="20"/>
    </w:rPr>
  </w:style>
  <w:style w:type="character" w:customStyle="1" w:styleId="QuoteChar">
    <w:name w:val="Quote Char"/>
    <w:basedOn w:val="DefaultParagraphFont"/>
    <w:link w:val="Quote"/>
    <w:uiPriority w:val="29"/>
    <w:rsid w:val="00DA2493"/>
    <w:rPr>
      <w:rFonts w:cs="Arial"/>
      <w:sz w:val="20"/>
      <w:szCs w:val="20"/>
    </w:rPr>
  </w:style>
  <w:style w:type="paragraph" w:styleId="TOCHeading">
    <w:name w:val="TOC Heading"/>
    <w:basedOn w:val="Heading1"/>
    <w:next w:val="Normal"/>
    <w:uiPriority w:val="39"/>
    <w:unhideWhenUsed/>
    <w:qFormat/>
    <w:rsid w:val="00DA2493"/>
    <w:pPr>
      <w:outlineLvl w:val="9"/>
    </w:pPr>
    <w:rPr>
      <w:lang w:val="en-US" w:eastAsia="ja-JP"/>
    </w:rPr>
  </w:style>
  <w:style w:type="paragraph" w:styleId="BalloonText">
    <w:name w:val="Balloon Text"/>
    <w:basedOn w:val="Normal"/>
    <w:link w:val="BalloonTextChar"/>
    <w:uiPriority w:val="99"/>
    <w:semiHidden/>
    <w:unhideWhenUsed/>
    <w:rsid w:val="00C9079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795"/>
    <w:rPr>
      <w:rFonts w:ascii="Tahoma" w:hAnsi="Tahoma" w:cs="Tahoma"/>
      <w:sz w:val="16"/>
      <w:szCs w:val="16"/>
    </w:rPr>
  </w:style>
  <w:style w:type="paragraph" w:styleId="Header">
    <w:name w:val="header"/>
    <w:basedOn w:val="Normal"/>
    <w:link w:val="HeaderChar"/>
    <w:uiPriority w:val="99"/>
    <w:unhideWhenUsed/>
    <w:rsid w:val="00C90795"/>
    <w:pPr>
      <w:tabs>
        <w:tab w:val="center" w:pos="4680"/>
        <w:tab w:val="right" w:pos="9360"/>
      </w:tabs>
      <w:spacing w:after="0"/>
    </w:pPr>
  </w:style>
  <w:style w:type="character" w:customStyle="1" w:styleId="HeaderChar">
    <w:name w:val="Header Char"/>
    <w:basedOn w:val="DefaultParagraphFont"/>
    <w:link w:val="Header"/>
    <w:uiPriority w:val="99"/>
    <w:rsid w:val="00C90795"/>
  </w:style>
  <w:style w:type="paragraph" w:styleId="Footer">
    <w:name w:val="footer"/>
    <w:basedOn w:val="Normal"/>
    <w:link w:val="FooterChar"/>
    <w:uiPriority w:val="99"/>
    <w:unhideWhenUsed/>
    <w:rsid w:val="00C90795"/>
    <w:pPr>
      <w:tabs>
        <w:tab w:val="center" w:pos="4680"/>
        <w:tab w:val="right" w:pos="9360"/>
      </w:tabs>
      <w:spacing w:after="0"/>
    </w:pPr>
  </w:style>
  <w:style w:type="character" w:customStyle="1" w:styleId="FooterChar">
    <w:name w:val="Footer Char"/>
    <w:basedOn w:val="DefaultParagraphFont"/>
    <w:link w:val="Footer"/>
    <w:uiPriority w:val="99"/>
    <w:rsid w:val="00C90795"/>
  </w:style>
  <w:style w:type="paragraph" w:customStyle="1" w:styleId="Copy">
    <w:name w:val="Copy"/>
    <w:basedOn w:val="Normal"/>
    <w:uiPriority w:val="99"/>
    <w:rsid w:val="00C90795"/>
    <w:pPr>
      <w:suppressAutoHyphens/>
      <w:autoSpaceDE w:val="0"/>
      <w:autoSpaceDN w:val="0"/>
      <w:adjustRightInd w:val="0"/>
      <w:spacing w:after="108" w:line="288" w:lineRule="auto"/>
      <w:textAlignment w:val="center"/>
    </w:pPr>
    <w:rPr>
      <w:rFonts w:ascii="Calibri" w:hAnsi="Calibri" w:cs="Calibri"/>
      <w:color w:val="000000"/>
      <w:sz w:val="24"/>
      <w:szCs w:val="24"/>
      <w:lang w:val="en-US"/>
    </w:rPr>
  </w:style>
  <w:style w:type="paragraph" w:customStyle="1" w:styleId="Heading1Small">
    <w:name w:val="Heading 1 Small"/>
    <w:basedOn w:val="Normal"/>
    <w:uiPriority w:val="99"/>
    <w:rsid w:val="00C90795"/>
    <w:pPr>
      <w:autoSpaceDE w:val="0"/>
      <w:autoSpaceDN w:val="0"/>
      <w:adjustRightInd w:val="0"/>
      <w:spacing w:after="240" w:line="400" w:lineRule="atLeast"/>
      <w:textAlignment w:val="center"/>
    </w:pPr>
    <w:rPr>
      <w:rFonts w:ascii="Whitney-Semibold" w:hAnsi="Whitney-Semibold" w:cs="Whitney-Semibold"/>
      <w:color w:val="570000"/>
      <w:sz w:val="28"/>
      <w:szCs w:val="28"/>
      <w:lang w:val="en-US"/>
    </w:rPr>
  </w:style>
  <w:style w:type="paragraph" w:customStyle="1" w:styleId="Bullets">
    <w:name w:val="Bullets"/>
    <w:basedOn w:val="Normal"/>
    <w:uiPriority w:val="99"/>
    <w:rsid w:val="00C90795"/>
    <w:pPr>
      <w:suppressAutoHyphens/>
      <w:autoSpaceDE w:val="0"/>
      <w:autoSpaceDN w:val="0"/>
      <w:adjustRightInd w:val="0"/>
      <w:spacing w:after="0" w:line="288" w:lineRule="auto"/>
      <w:ind w:left="260" w:hanging="260"/>
      <w:textAlignment w:val="center"/>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sid w:val="002D11C7"/>
    <w:rPr>
      <w:sz w:val="16"/>
      <w:szCs w:val="16"/>
    </w:rPr>
  </w:style>
  <w:style w:type="paragraph" w:styleId="CommentText">
    <w:name w:val="annotation text"/>
    <w:basedOn w:val="Normal"/>
    <w:link w:val="CommentTextChar"/>
    <w:uiPriority w:val="99"/>
    <w:semiHidden/>
    <w:unhideWhenUsed/>
    <w:rsid w:val="002D11C7"/>
    <w:rPr>
      <w:sz w:val="20"/>
      <w:szCs w:val="20"/>
    </w:rPr>
  </w:style>
  <w:style w:type="character" w:customStyle="1" w:styleId="CommentTextChar">
    <w:name w:val="Comment Text Char"/>
    <w:basedOn w:val="DefaultParagraphFont"/>
    <w:link w:val="CommentText"/>
    <w:uiPriority w:val="99"/>
    <w:semiHidden/>
    <w:rsid w:val="002D11C7"/>
    <w:rPr>
      <w:sz w:val="20"/>
      <w:szCs w:val="20"/>
    </w:rPr>
  </w:style>
  <w:style w:type="paragraph" w:styleId="CommentSubject">
    <w:name w:val="annotation subject"/>
    <w:basedOn w:val="CommentText"/>
    <w:next w:val="CommentText"/>
    <w:link w:val="CommentSubjectChar"/>
    <w:uiPriority w:val="99"/>
    <w:semiHidden/>
    <w:unhideWhenUsed/>
    <w:rsid w:val="002D11C7"/>
    <w:rPr>
      <w:b/>
      <w:bCs/>
    </w:rPr>
  </w:style>
  <w:style w:type="character" w:customStyle="1" w:styleId="CommentSubjectChar">
    <w:name w:val="Comment Subject Char"/>
    <w:basedOn w:val="CommentTextChar"/>
    <w:link w:val="CommentSubject"/>
    <w:uiPriority w:val="99"/>
    <w:semiHidden/>
    <w:rsid w:val="002D11C7"/>
    <w:rPr>
      <w:b/>
      <w:bCs/>
      <w:sz w:val="20"/>
      <w:szCs w:val="20"/>
    </w:rPr>
  </w:style>
  <w:style w:type="character" w:styleId="Hyperlink">
    <w:name w:val="Hyperlink"/>
    <w:basedOn w:val="DefaultParagraphFont"/>
    <w:uiPriority w:val="99"/>
    <w:unhideWhenUsed/>
    <w:rsid w:val="006A64EA"/>
    <w:rPr>
      <w:color w:val="CC9900"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493"/>
    <w:pPr>
      <w:spacing w:after="220" w:line="240" w:lineRule="auto"/>
    </w:pPr>
  </w:style>
  <w:style w:type="paragraph" w:styleId="Heading1">
    <w:name w:val="heading 1"/>
    <w:basedOn w:val="Normal"/>
    <w:next w:val="Normal"/>
    <w:link w:val="Heading1Char"/>
    <w:autoRedefine/>
    <w:uiPriority w:val="9"/>
    <w:qFormat/>
    <w:rsid w:val="00FA7BC1"/>
    <w:pPr>
      <w:keepNext/>
      <w:keepLines/>
      <w:spacing w:before="120" w:after="120"/>
      <w:outlineLvl w:val="0"/>
    </w:pPr>
    <w:rPr>
      <w:rFonts w:eastAsiaTheme="majorEastAsia" w:cstheme="majorBidi"/>
      <w:b/>
      <w:bCs/>
      <w:color w:val="81232C"/>
      <w:sz w:val="36"/>
      <w:szCs w:val="28"/>
    </w:rPr>
  </w:style>
  <w:style w:type="paragraph" w:styleId="Heading2">
    <w:name w:val="heading 2"/>
    <w:basedOn w:val="Normal"/>
    <w:next w:val="Normal"/>
    <w:link w:val="Heading2Char"/>
    <w:uiPriority w:val="9"/>
    <w:unhideWhenUsed/>
    <w:qFormat/>
    <w:rsid w:val="00DA2493"/>
    <w:pPr>
      <w:keepNext/>
      <w:keepLines/>
      <w:outlineLvl w:val="1"/>
    </w:pPr>
    <w:rPr>
      <w:rFonts w:eastAsiaTheme="majorEastAsia" w:cstheme="majorBidi"/>
      <w:b/>
      <w:bCs/>
      <w:color w:val="732117" w:themeColor="accent2" w:themeShade="BF"/>
    </w:rPr>
  </w:style>
  <w:style w:type="paragraph" w:styleId="Heading3">
    <w:name w:val="heading 3"/>
    <w:basedOn w:val="Normal"/>
    <w:next w:val="Normal"/>
    <w:link w:val="Heading3Char"/>
    <w:uiPriority w:val="9"/>
    <w:unhideWhenUsed/>
    <w:qFormat/>
    <w:rsid w:val="00DA2493"/>
    <w:pPr>
      <w:keepNext/>
      <w:keepLines/>
      <w:spacing w:before="200" w:after="0"/>
      <w:outlineLvl w:val="2"/>
    </w:pPr>
    <w:rPr>
      <w:rFonts w:asciiTheme="majorHAnsi" w:eastAsiaTheme="majorEastAsia" w:hAnsiTheme="majorHAnsi" w:cstheme="majorBidi"/>
      <w:b/>
      <w:bCs/>
      <w:color w:val="D3481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Paragraphs">
    <w:name w:val="Numbered Paragraphs"/>
    <w:basedOn w:val="NoSpacing"/>
    <w:link w:val="NumberedParagraphsChar"/>
    <w:qFormat/>
    <w:rsid w:val="00DA2493"/>
    <w:pPr>
      <w:numPr>
        <w:numId w:val="1"/>
      </w:numPr>
      <w:spacing w:after="240"/>
      <w:ind w:left="1077" w:hanging="720"/>
    </w:pPr>
  </w:style>
  <w:style w:type="character" w:customStyle="1" w:styleId="NumberedParagraphsChar">
    <w:name w:val="Numbered Paragraphs Char"/>
    <w:basedOn w:val="NoSpacingChar"/>
    <w:link w:val="NumberedParagraphs"/>
    <w:rsid w:val="00DA2493"/>
    <w:rPr>
      <w:lang w:val="en-US"/>
    </w:rPr>
  </w:style>
  <w:style w:type="paragraph" w:styleId="NoSpacing">
    <w:name w:val="No Spacing"/>
    <w:link w:val="NoSpacingChar"/>
    <w:uiPriority w:val="1"/>
    <w:qFormat/>
    <w:rsid w:val="00DA2493"/>
    <w:pPr>
      <w:spacing w:after="0" w:line="240" w:lineRule="auto"/>
    </w:pPr>
    <w:rPr>
      <w:lang w:val="en-US"/>
    </w:rPr>
  </w:style>
  <w:style w:type="paragraph" w:customStyle="1" w:styleId="Numbered">
    <w:name w:val="Numbered"/>
    <w:basedOn w:val="ListParagraph"/>
    <w:link w:val="NumberedChar"/>
    <w:qFormat/>
    <w:rsid w:val="00010C59"/>
    <w:pPr>
      <w:numPr>
        <w:numId w:val="6"/>
      </w:numPr>
      <w:spacing w:after="0"/>
      <w:ind w:left="357" w:hanging="357"/>
    </w:pPr>
  </w:style>
  <w:style w:type="character" w:customStyle="1" w:styleId="NumberedChar">
    <w:name w:val="Numbered Char"/>
    <w:basedOn w:val="ListParagraphChar"/>
    <w:link w:val="Numbered"/>
    <w:rsid w:val="00010C59"/>
    <w:rPr>
      <w:lang w:val="en-US"/>
    </w:rPr>
  </w:style>
  <w:style w:type="paragraph" w:styleId="ListParagraph">
    <w:name w:val="List Paragraph"/>
    <w:basedOn w:val="Normal"/>
    <w:link w:val="ListParagraphChar"/>
    <w:uiPriority w:val="99"/>
    <w:qFormat/>
    <w:rsid w:val="00DA2493"/>
    <w:pPr>
      <w:numPr>
        <w:numId w:val="2"/>
      </w:numPr>
      <w:ind w:left="1434" w:hanging="357"/>
    </w:pPr>
    <w:rPr>
      <w:lang w:val="en-US"/>
    </w:rPr>
  </w:style>
  <w:style w:type="character" w:customStyle="1" w:styleId="Heading1Char">
    <w:name w:val="Heading 1 Char"/>
    <w:basedOn w:val="DefaultParagraphFont"/>
    <w:link w:val="Heading1"/>
    <w:uiPriority w:val="9"/>
    <w:rsid w:val="00FA7BC1"/>
    <w:rPr>
      <w:rFonts w:eastAsiaTheme="majorEastAsia" w:cstheme="majorBidi"/>
      <w:b/>
      <w:bCs/>
      <w:color w:val="81232C"/>
      <w:sz w:val="36"/>
      <w:szCs w:val="28"/>
    </w:rPr>
  </w:style>
  <w:style w:type="character" w:customStyle="1" w:styleId="Heading2Char">
    <w:name w:val="Heading 2 Char"/>
    <w:basedOn w:val="DefaultParagraphFont"/>
    <w:link w:val="Heading2"/>
    <w:uiPriority w:val="9"/>
    <w:rsid w:val="00DA2493"/>
    <w:rPr>
      <w:rFonts w:eastAsiaTheme="majorEastAsia" w:cstheme="majorBidi"/>
      <w:b/>
      <w:bCs/>
      <w:color w:val="732117" w:themeColor="accent2" w:themeShade="BF"/>
    </w:rPr>
  </w:style>
  <w:style w:type="character" w:customStyle="1" w:styleId="Heading3Char">
    <w:name w:val="Heading 3 Char"/>
    <w:basedOn w:val="DefaultParagraphFont"/>
    <w:link w:val="Heading3"/>
    <w:uiPriority w:val="9"/>
    <w:rsid w:val="00DA2493"/>
    <w:rPr>
      <w:rFonts w:asciiTheme="majorHAnsi" w:eastAsiaTheme="majorEastAsia" w:hAnsiTheme="majorHAnsi" w:cstheme="majorBidi"/>
      <w:b/>
      <w:bCs/>
      <w:color w:val="D34817" w:themeColor="accent1"/>
    </w:rPr>
  </w:style>
  <w:style w:type="paragraph" w:styleId="Subtitle">
    <w:name w:val="Subtitle"/>
    <w:basedOn w:val="Normal"/>
    <w:next w:val="Normal"/>
    <w:link w:val="SubtitleChar"/>
    <w:uiPriority w:val="11"/>
    <w:qFormat/>
    <w:rsid w:val="00DA2493"/>
    <w:pPr>
      <w:numPr>
        <w:ilvl w:val="1"/>
      </w:numPr>
      <w:spacing w:after="200" w:line="276" w:lineRule="auto"/>
    </w:pPr>
    <w:rPr>
      <w:rFonts w:asciiTheme="majorHAnsi" w:eastAsiaTheme="majorEastAsia" w:hAnsiTheme="majorHAnsi" w:cstheme="majorBidi"/>
      <w:i/>
      <w:iCs/>
      <w:color w:val="D34817" w:themeColor="accent1"/>
      <w:spacing w:val="15"/>
      <w:sz w:val="24"/>
      <w:szCs w:val="24"/>
    </w:rPr>
  </w:style>
  <w:style w:type="character" w:customStyle="1" w:styleId="SubtitleChar">
    <w:name w:val="Subtitle Char"/>
    <w:basedOn w:val="DefaultParagraphFont"/>
    <w:link w:val="Subtitle"/>
    <w:uiPriority w:val="11"/>
    <w:rsid w:val="00DA2493"/>
    <w:rPr>
      <w:rFonts w:asciiTheme="majorHAnsi" w:eastAsiaTheme="majorEastAsia" w:hAnsiTheme="majorHAnsi" w:cstheme="majorBidi"/>
      <w:i/>
      <w:iCs/>
      <w:color w:val="D34817" w:themeColor="accent1"/>
      <w:spacing w:val="15"/>
      <w:sz w:val="24"/>
      <w:szCs w:val="24"/>
    </w:rPr>
  </w:style>
  <w:style w:type="character" w:customStyle="1" w:styleId="NoSpacingChar">
    <w:name w:val="No Spacing Char"/>
    <w:basedOn w:val="DefaultParagraphFont"/>
    <w:link w:val="NoSpacing"/>
    <w:uiPriority w:val="1"/>
    <w:rsid w:val="00DA2493"/>
    <w:rPr>
      <w:lang w:val="en-US"/>
    </w:rPr>
  </w:style>
  <w:style w:type="character" w:customStyle="1" w:styleId="ListParagraphChar">
    <w:name w:val="List Paragraph Char"/>
    <w:basedOn w:val="DefaultParagraphFont"/>
    <w:link w:val="ListParagraph"/>
    <w:uiPriority w:val="34"/>
    <w:rsid w:val="00DA2493"/>
    <w:rPr>
      <w:lang w:val="en-US"/>
    </w:rPr>
  </w:style>
  <w:style w:type="paragraph" w:styleId="Quote">
    <w:name w:val="Quote"/>
    <w:basedOn w:val="Normal"/>
    <w:next w:val="Normal"/>
    <w:link w:val="QuoteChar"/>
    <w:uiPriority w:val="29"/>
    <w:qFormat/>
    <w:rsid w:val="00DA2493"/>
    <w:pPr>
      <w:spacing w:after="240"/>
      <w:ind w:left="1435"/>
    </w:pPr>
    <w:rPr>
      <w:rFonts w:cs="Arial"/>
      <w:sz w:val="20"/>
      <w:szCs w:val="20"/>
    </w:rPr>
  </w:style>
  <w:style w:type="character" w:customStyle="1" w:styleId="QuoteChar">
    <w:name w:val="Quote Char"/>
    <w:basedOn w:val="DefaultParagraphFont"/>
    <w:link w:val="Quote"/>
    <w:uiPriority w:val="29"/>
    <w:rsid w:val="00DA2493"/>
    <w:rPr>
      <w:rFonts w:cs="Arial"/>
      <w:sz w:val="20"/>
      <w:szCs w:val="20"/>
    </w:rPr>
  </w:style>
  <w:style w:type="paragraph" w:styleId="TOCHeading">
    <w:name w:val="TOC Heading"/>
    <w:basedOn w:val="Heading1"/>
    <w:next w:val="Normal"/>
    <w:uiPriority w:val="39"/>
    <w:unhideWhenUsed/>
    <w:qFormat/>
    <w:rsid w:val="00DA2493"/>
    <w:pPr>
      <w:outlineLvl w:val="9"/>
    </w:pPr>
    <w:rPr>
      <w:lang w:val="en-US" w:eastAsia="ja-JP"/>
    </w:rPr>
  </w:style>
  <w:style w:type="paragraph" w:styleId="BalloonText">
    <w:name w:val="Balloon Text"/>
    <w:basedOn w:val="Normal"/>
    <w:link w:val="BalloonTextChar"/>
    <w:uiPriority w:val="99"/>
    <w:semiHidden/>
    <w:unhideWhenUsed/>
    <w:rsid w:val="00C9079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795"/>
    <w:rPr>
      <w:rFonts w:ascii="Tahoma" w:hAnsi="Tahoma" w:cs="Tahoma"/>
      <w:sz w:val="16"/>
      <w:szCs w:val="16"/>
    </w:rPr>
  </w:style>
  <w:style w:type="paragraph" w:styleId="Header">
    <w:name w:val="header"/>
    <w:basedOn w:val="Normal"/>
    <w:link w:val="HeaderChar"/>
    <w:uiPriority w:val="99"/>
    <w:unhideWhenUsed/>
    <w:rsid w:val="00C90795"/>
    <w:pPr>
      <w:tabs>
        <w:tab w:val="center" w:pos="4680"/>
        <w:tab w:val="right" w:pos="9360"/>
      </w:tabs>
      <w:spacing w:after="0"/>
    </w:pPr>
  </w:style>
  <w:style w:type="character" w:customStyle="1" w:styleId="HeaderChar">
    <w:name w:val="Header Char"/>
    <w:basedOn w:val="DefaultParagraphFont"/>
    <w:link w:val="Header"/>
    <w:uiPriority w:val="99"/>
    <w:rsid w:val="00C90795"/>
  </w:style>
  <w:style w:type="paragraph" w:styleId="Footer">
    <w:name w:val="footer"/>
    <w:basedOn w:val="Normal"/>
    <w:link w:val="FooterChar"/>
    <w:uiPriority w:val="99"/>
    <w:unhideWhenUsed/>
    <w:rsid w:val="00C90795"/>
    <w:pPr>
      <w:tabs>
        <w:tab w:val="center" w:pos="4680"/>
        <w:tab w:val="right" w:pos="9360"/>
      </w:tabs>
      <w:spacing w:after="0"/>
    </w:pPr>
  </w:style>
  <w:style w:type="character" w:customStyle="1" w:styleId="FooterChar">
    <w:name w:val="Footer Char"/>
    <w:basedOn w:val="DefaultParagraphFont"/>
    <w:link w:val="Footer"/>
    <w:uiPriority w:val="99"/>
    <w:rsid w:val="00C90795"/>
  </w:style>
  <w:style w:type="paragraph" w:customStyle="1" w:styleId="Copy">
    <w:name w:val="Copy"/>
    <w:basedOn w:val="Normal"/>
    <w:uiPriority w:val="99"/>
    <w:rsid w:val="00C90795"/>
    <w:pPr>
      <w:suppressAutoHyphens/>
      <w:autoSpaceDE w:val="0"/>
      <w:autoSpaceDN w:val="0"/>
      <w:adjustRightInd w:val="0"/>
      <w:spacing w:after="108" w:line="288" w:lineRule="auto"/>
      <w:textAlignment w:val="center"/>
    </w:pPr>
    <w:rPr>
      <w:rFonts w:ascii="Calibri" w:hAnsi="Calibri" w:cs="Calibri"/>
      <w:color w:val="000000"/>
      <w:sz w:val="24"/>
      <w:szCs w:val="24"/>
      <w:lang w:val="en-US"/>
    </w:rPr>
  </w:style>
  <w:style w:type="paragraph" w:customStyle="1" w:styleId="Heading1Small">
    <w:name w:val="Heading 1 Small"/>
    <w:basedOn w:val="Normal"/>
    <w:uiPriority w:val="99"/>
    <w:rsid w:val="00C90795"/>
    <w:pPr>
      <w:autoSpaceDE w:val="0"/>
      <w:autoSpaceDN w:val="0"/>
      <w:adjustRightInd w:val="0"/>
      <w:spacing w:after="240" w:line="400" w:lineRule="atLeast"/>
      <w:textAlignment w:val="center"/>
    </w:pPr>
    <w:rPr>
      <w:rFonts w:ascii="Whitney-Semibold" w:hAnsi="Whitney-Semibold" w:cs="Whitney-Semibold"/>
      <w:color w:val="570000"/>
      <w:sz w:val="28"/>
      <w:szCs w:val="28"/>
      <w:lang w:val="en-US"/>
    </w:rPr>
  </w:style>
  <w:style w:type="paragraph" w:customStyle="1" w:styleId="Bullets">
    <w:name w:val="Bullets"/>
    <w:basedOn w:val="Normal"/>
    <w:uiPriority w:val="99"/>
    <w:rsid w:val="00C90795"/>
    <w:pPr>
      <w:suppressAutoHyphens/>
      <w:autoSpaceDE w:val="0"/>
      <w:autoSpaceDN w:val="0"/>
      <w:adjustRightInd w:val="0"/>
      <w:spacing w:after="0" w:line="288" w:lineRule="auto"/>
      <w:ind w:left="260" w:hanging="260"/>
      <w:textAlignment w:val="center"/>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sid w:val="002D11C7"/>
    <w:rPr>
      <w:sz w:val="16"/>
      <w:szCs w:val="16"/>
    </w:rPr>
  </w:style>
  <w:style w:type="paragraph" w:styleId="CommentText">
    <w:name w:val="annotation text"/>
    <w:basedOn w:val="Normal"/>
    <w:link w:val="CommentTextChar"/>
    <w:uiPriority w:val="99"/>
    <w:semiHidden/>
    <w:unhideWhenUsed/>
    <w:rsid w:val="002D11C7"/>
    <w:rPr>
      <w:sz w:val="20"/>
      <w:szCs w:val="20"/>
    </w:rPr>
  </w:style>
  <w:style w:type="character" w:customStyle="1" w:styleId="CommentTextChar">
    <w:name w:val="Comment Text Char"/>
    <w:basedOn w:val="DefaultParagraphFont"/>
    <w:link w:val="CommentText"/>
    <w:uiPriority w:val="99"/>
    <w:semiHidden/>
    <w:rsid w:val="002D11C7"/>
    <w:rPr>
      <w:sz w:val="20"/>
      <w:szCs w:val="20"/>
    </w:rPr>
  </w:style>
  <w:style w:type="paragraph" w:styleId="CommentSubject">
    <w:name w:val="annotation subject"/>
    <w:basedOn w:val="CommentText"/>
    <w:next w:val="CommentText"/>
    <w:link w:val="CommentSubjectChar"/>
    <w:uiPriority w:val="99"/>
    <w:semiHidden/>
    <w:unhideWhenUsed/>
    <w:rsid w:val="002D11C7"/>
    <w:rPr>
      <w:b/>
      <w:bCs/>
    </w:rPr>
  </w:style>
  <w:style w:type="character" w:customStyle="1" w:styleId="CommentSubjectChar">
    <w:name w:val="Comment Subject Char"/>
    <w:basedOn w:val="CommentTextChar"/>
    <w:link w:val="CommentSubject"/>
    <w:uiPriority w:val="99"/>
    <w:semiHidden/>
    <w:rsid w:val="002D11C7"/>
    <w:rPr>
      <w:b/>
      <w:bCs/>
      <w:sz w:val="20"/>
      <w:szCs w:val="20"/>
    </w:rPr>
  </w:style>
  <w:style w:type="character" w:styleId="Hyperlink">
    <w:name w:val="Hyperlink"/>
    <w:basedOn w:val="DefaultParagraphFont"/>
    <w:uiPriority w:val="99"/>
    <w:unhideWhenUsed/>
    <w:rsid w:val="006A64EA"/>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ipc.ab.ca/media/383671/guide_getting_accountability_with_privacy_program_apr2012.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oipc.ab.c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ipc.ab.ca/media/615916/Guide_PIA_Requirements_2010.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qp.alberta.ca/documents/Acts/H05.pdf"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94220-4939-4EAA-90FC-2280BFC25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3823</Words>
  <Characters>21795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2016-06-07T19:25:00Z</dcterms:created>
  <dcterms:modified xsi:type="dcterms:W3CDTF">2016-06-08T15:39:00Z</dcterms:modified>
</cp:coreProperties>
</file>